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BE" w:rsidRDefault="001933BE" w:rsidP="001933BE">
      <w:pPr>
        <w:spacing w:before="240" w:after="240" w:line="360" w:lineRule="auto"/>
        <w:jc w:val="both"/>
        <w:rPr>
          <w:rFonts w:ascii="Palatino Linotype" w:hAnsi="Palatino Linotype"/>
          <w:b/>
        </w:rPr>
      </w:pPr>
      <w:r w:rsidRPr="00B642F2">
        <w:rPr>
          <w:rFonts w:ascii="Palatino Linotype" w:hAnsi="Palatino Linotype" w:cs="Arial"/>
          <w:b/>
          <w:color w:val="000000" w:themeColor="text1"/>
        </w:rPr>
        <w:t xml:space="preserve">VOTO </w:t>
      </w:r>
      <w:r>
        <w:rPr>
          <w:rFonts w:ascii="Palatino Linotype" w:hAnsi="Palatino Linotype" w:cs="Arial"/>
          <w:b/>
          <w:color w:val="000000" w:themeColor="text1"/>
        </w:rPr>
        <w:t>DISIDENTE</w:t>
      </w:r>
      <w:r w:rsidRPr="00B642F2">
        <w:rPr>
          <w:rFonts w:ascii="Palatino Linotype" w:hAnsi="Palatino Linotype" w:cs="Arial"/>
          <w:b/>
          <w:color w:val="000000" w:themeColor="text1"/>
        </w:rPr>
        <w:t xml:space="preserve"> DEL COMISIONADO JOSÉ GUADALUPE LUNA HERNÁNDEZ EN EL RECURSO DE REVISIÓN </w:t>
      </w:r>
      <w:r>
        <w:rPr>
          <w:rFonts w:ascii="Palatino Linotype" w:hAnsi="Palatino Linotype" w:cs="Arial"/>
          <w:b/>
          <w:bCs/>
          <w:lang w:eastAsia="es-MX"/>
        </w:rPr>
        <w:t>0</w:t>
      </w:r>
      <w:r w:rsidR="00A407DF">
        <w:rPr>
          <w:rFonts w:ascii="Palatino Linotype" w:hAnsi="Palatino Linotype" w:cs="Arial"/>
          <w:b/>
          <w:bCs/>
          <w:lang w:eastAsia="es-MX"/>
        </w:rPr>
        <w:t>4147</w:t>
      </w:r>
      <w:r w:rsidR="00EB4980">
        <w:rPr>
          <w:rFonts w:ascii="Palatino Linotype" w:hAnsi="Palatino Linotype" w:cs="Arial"/>
          <w:b/>
          <w:bCs/>
          <w:lang w:eastAsia="es-MX"/>
        </w:rPr>
        <w:t>/INFOEM/IP/RR/2018</w:t>
      </w:r>
      <w:r w:rsidRPr="00B642F2">
        <w:rPr>
          <w:rFonts w:ascii="Palatino Linotype" w:hAnsi="Palatino Linotype" w:cs="Arial"/>
          <w:b/>
          <w:color w:val="000000" w:themeColor="text1"/>
        </w:rPr>
        <w:t>.</w:t>
      </w:r>
    </w:p>
    <w:p w:rsidR="001933BE" w:rsidRDefault="001F4D39" w:rsidP="001933BE">
      <w:pPr>
        <w:spacing w:before="240" w:after="240" w:line="360" w:lineRule="auto"/>
        <w:jc w:val="both"/>
        <w:rPr>
          <w:rFonts w:ascii="Palatino Linotype" w:hAnsi="Palatino Linotype" w:cs="Arial"/>
          <w:b/>
          <w:color w:val="000000" w:themeColor="text1"/>
        </w:rPr>
      </w:pPr>
      <w:r>
        <w:rPr>
          <w:rFonts w:ascii="Palatino Linotype" w:hAnsi="Palatino Linotype" w:cs="Arial"/>
          <w:b/>
          <w:color w:val="000000" w:themeColor="text1"/>
        </w:rPr>
        <w:t xml:space="preserve">Línea Argumentativa: </w:t>
      </w:r>
    </w:p>
    <w:p w:rsidR="007230E2" w:rsidRPr="007230E2" w:rsidRDefault="007230E2" w:rsidP="007230E2">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Pr="007230E2">
        <w:rPr>
          <w:rFonts w:ascii="Palatino Linotype" w:hAnsi="Palatino Linotype" w:cs="Arial"/>
          <w:color w:val="000000" w:themeColor="text1"/>
        </w:rPr>
        <w:t xml:space="preserve">l laudo </w:t>
      </w:r>
      <w:r>
        <w:rPr>
          <w:rFonts w:ascii="Palatino Linotype" w:hAnsi="Palatino Linotype" w:cs="Arial"/>
          <w:color w:val="000000" w:themeColor="text1"/>
        </w:rPr>
        <w:t xml:space="preserve">es la </w:t>
      </w:r>
      <w:r w:rsidRPr="007230E2">
        <w:rPr>
          <w:rFonts w:ascii="Palatino Linotype" w:hAnsi="Palatino Linotype" w:cs="Arial"/>
        </w:rPr>
        <w:t>resolución que en definitiva dicta el Tribunal Laboral para la conclusión del juicio de la materia,</w:t>
      </w:r>
      <w:r>
        <w:rPr>
          <w:rFonts w:ascii="Palatino Linotype" w:hAnsi="Palatino Linotype" w:cs="Arial"/>
        </w:rPr>
        <w:t xml:space="preserve"> por tanto,</w:t>
      </w:r>
      <w:r w:rsidRPr="007230E2">
        <w:rPr>
          <w:rFonts w:ascii="Palatino Linotype" w:hAnsi="Palatino Linotype" w:cs="Arial"/>
        </w:rPr>
        <w:t xml:space="preserve"> es de carácter público, independientemente que el mismo haya sido impugnado o no a través del juicio de amparo. </w:t>
      </w:r>
    </w:p>
    <w:p w:rsidR="007230E2" w:rsidRPr="007230E2" w:rsidRDefault="007230E2" w:rsidP="007230E2">
      <w:pPr>
        <w:pStyle w:val="Prrafodelista"/>
        <w:spacing w:before="100" w:beforeAutospacing="1" w:after="100" w:afterAutospacing="1" w:line="360" w:lineRule="auto"/>
        <w:ind w:left="360"/>
        <w:jc w:val="both"/>
        <w:rPr>
          <w:rFonts w:ascii="Palatino Linotype" w:hAnsi="Palatino Linotype" w:cs="Arial"/>
          <w:color w:val="000000" w:themeColor="text1"/>
        </w:rPr>
      </w:pPr>
    </w:p>
    <w:sdt>
      <w:sdtPr>
        <w:rPr>
          <w:rFonts w:asciiTheme="minorHAnsi" w:eastAsiaTheme="minorHAnsi" w:hAnsiTheme="minorHAnsi" w:cstheme="minorBidi"/>
          <w:b/>
          <w:color w:val="auto"/>
          <w:sz w:val="22"/>
          <w:szCs w:val="22"/>
          <w:bdr w:val="nil"/>
          <w:lang w:val="es-ES" w:eastAsia="en-US"/>
        </w:rPr>
        <w:id w:val="267358099"/>
        <w:docPartObj>
          <w:docPartGallery w:val="Table of Contents"/>
          <w:docPartUnique/>
        </w:docPartObj>
      </w:sdtPr>
      <w:sdtEndPr>
        <w:rPr>
          <w:rFonts w:ascii="Times New Roman" w:eastAsia="Arial Unicode MS" w:hAnsi="Times New Roman" w:cs="Times New Roman"/>
          <w:b w:val="0"/>
          <w:bCs/>
          <w:sz w:val="24"/>
          <w:szCs w:val="24"/>
        </w:rPr>
      </w:sdtEndPr>
      <w:sdtContent>
        <w:p w:rsidR="001933BE" w:rsidRPr="00795BA4" w:rsidRDefault="001933BE" w:rsidP="00795BA4">
          <w:pPr>
            <w:pStyle w:val="TtulodeTDC"/>
            <w:spacing w:after="240" w:line="360" w:lineRule="auto"/>
            <w:rPr>
              <w:rFonts w:ascii="Palatino Linotype" w:hAnsi="Palatino Linotype"/>
              <w:b/>
              <w:color w:val="auto"/>
              <w:sz w:val="22"/>
              <w:szCs w:val="22"/>
            </w:rPr>
          </w:pPr>
          <w:r w:rsidRPr="00795BA4">
            <w:rPr>
              <w:rFonts w:ascii="Palatino Linotype" w:hAnsi="Palatino Linotype"/>
              <w:b/>
              <w:color w:val="auto"/>
              <w:sz w:val="22"/>
              <w:szCs w:val="22"/>
              <w:lang w:val="es-ES"/>
            </w:rPr>
            <w:t>Índice</w:t>
          </w:r>
        </w:p>
        <w:p w:rsidR="001F4D39" w:rsidRPr="001F4D39" w:rsidRDefault="001933BE">
          <w:pPr>
            <w:pStyle w:val="TDC1"/>
            <w:rPr>
              <w:rFonts w:asciiTheme="minorHAnsi" w:eastAsiaTheme="minorEastAsia" w:hAnsiTheme="minorHAnsi" w:cstheme="minorBidi"/>
              <w:noProof/>
              <w:sz w:val="22"/>
              <w:szCs w:val="22"/>
              <w:bdr w:val="none" w:sz="0" w:space="0" w:color="auto"/>
              <w:lang w:eastAsia="es-MX"/>
            </w:rPr>
          </w:pPr>
          <w:r w:rsidRPr="001F4D39">
            <w:rPr>
              <w:noProof/>
              <w:color w:val="000000" w:themeColor="text1"/>
              <w:sz w:val="22"/>
              <w:szCs w:val="22"/>
            </w:rPr>
            <w:fldChar w:fldCharType="begin"/>
          </w:r>
          <w:r w:rsidRPr="001F4D39">
            <w:rPr>
              <w:color w:val="000000" w:themeColor="text1"/>
              <w:sz w:val="22"/>
              <w:szCs w:val="22"/>
            </w:rPr>
            <w:instrText xml:space="preserve"> TOC \o "1-3" \h \z \u </w:instrText>
          </w:r>
          <w:r w:rsidRPr="001F4D39">
            <w:rPr>
              <w:noProof/>
              <w:color w:val="000000" w:themeColor="text1"/>
              <w:sz w:val="22"/>
              <w:szCs w:val="22"/>
            </w:rPr>
            <w:fldChar w:fldCharType="separate"/>
          </w:r>
          <w:hyperlink w:anchor="_Toc535863066" w:history="1">
            <w:r w:rsidR="001F4D39" w:rsidRPr="001F4D39">
              <w:rPr>
                <w:rStyle w:val="Hipervnculo"/>
                <w:noProof/>
                <w:color w:val="auto"/>
              </w:rPr>
              <w:t>I.</w:t>
            </w:r>
            <w:r w:rsidR="001F4D39" w:rsidRPr="001F4D39">
              <w:rPr>
                <w:rFonts w:asciiTheme="minorHAnsi" w:eastAsiaTheme="minorEastAsia" w:hAnsiTheme="minorHAnsi" w:cstheme="minorBidi"/>
                <w:noProof/>
                <w:sz w:val="22"/>
                <w:szCs w:val="22"/>
                <w:bdr w:val="none" w:sz="0" w:space="0" w:color="auto"/>
                <w:lang w:eastAsia="es-MX"/>
              </w:rPr>
              <w:tab/>
            </w:r>
            <w:r w:rsidR="001F4D39" w:rsidRPr="001F4D39">
              <w:rPr>
                <w:rStyle w:val="Hipervnculo"/>
                <w:noProof/>
                <w:color w:val="auto"/>
              </w:rPr>
              <w:t>Consideraciones Generales</w:t>
            </w:r>
            <w:r w:rsidR="001F4D39" w:rsidRPr="001F4D39">
              <w:rPr>
                <w:noProof/>
                <w:webHidden/>
              </w:rPr>
              <w:tab/>
            </w:r>
            <w:r w:rsidR="001F4D39" w:rsidRPr="001F4D39">
              <w:rPr>
                <w:noProof/>
                <w:webHidden/>
              </w:rPr>
              <w:fldChar w:fldCharType="begin"/>
            </w:r>
            <w:r w:rsidR="001F4D39" w:rsidRPr="001F4D39">
              <w:rPr>
                <w:noProof/>
                <w:webHidden/>
              </w:rPr>
              <w:instrText xml:space="preserve"> PAGEREF _Toc535863066 \h </w:instrText>
            </w:r>
            <w:r w:rsidR="001F4D39" w:rsidRPr="001F4D39">
              <w:rPr>
                <w:noProof/>
                <w:webHidden/>
              </w:rPr>
            </w:r>
            <w:r w:rsidR="001F4D39" w:rsidRPr="001F4D39">
              <w:rPr>
                <w:noProof/>
                <w:webHidden/>
              </w:rPr>
              <w:fldChar w:fldCharType="separate"/>
            </w:r>
            <w:r w:rsidR="007230E2">
              <w:rPr>
                <w:noProof/>
                <w:webHidden/>
              </w:rPr>
              <w:t>2</w:t>
            </w:r>
            <w:r w:rsidR="001F4D39" w:rsidRPr="001F4D39">
              <w:rPr>
                <w:noProof/>
                <w:webHidden/>
              </w:rPr>
              <w:fldChar w:fldCharType="end"/>
            </w:r>
          </w:hyperlink>
        </w:p>
        <w:p w:rsidR="001F4D39" w:rsidRPr="001F4D39" w:rsidRDefault="001F4D39">
          <w:pPr>
            <w:pStyle w:val="TDC1"/>
            <w:rPr>
              <w:rFonts w:asciiTheme="minorHAnsi" w:eastAsiaTheme="minorEastAsia" w:hAnsiTheme="minorHAnsi" w:cstheme="minorBidi"/>
              <w:noProof/>
              <w:sz w:val="22"/>
              <w:szCs w:val="22"/>
              <w:bdr w:val="none" w:sz="0" w:space="0" w:color="auto"/>
              <w:lang w:eastAsia="es-MX"/>
            </w:rPr>
          </w:pPr>
          <w:hyperlink w:anchor="_Toc535863067" w:history="1">
            <w:r w:rsidRPr="001F4D39">
              <w:rPr>
                <w:rStyle w:val="Hipervnculo"/>
                <w:noProof/>
                <w:color w:val="auto"/>
              </w:rPr>
              <w:t>II.</w:t>
            </w:r>
            <w:r w:rsidRPr="001F4D39">
              <w:rPr>
                <w:rFonts w:asciiTheme="minorHAnsi" w:eastAsiaTheme="minorEastAsia" w:hAnsiTheme="minorHAnsi" w:cstheme="minorBidi"/>
                <w:noProof/>
                <w:sz w:val="22"/>
                <w:szCs w:val="22"/>
                <w:bdr w:val="none" w:sz="0" w:space="0" w:color="auto"/>
                <w:lang w:eastAsia="es-MX"/>
              </w:rPr>
              <w:tab/>
            </w:r>
            <w:r w:rsidRPr="001F4D39">
              <w:rPr>
                <w:rStyle w:val="Hipervnculo"/>
                <w:noProof/>
                <w:color w:val="auto"/>
              </w:rPr>
              <w:t>De los requerimientos planteados en el recurso de revisión.</w:t>
            </w:r>
            <w:r w:rsidRPr="001F4D39">
              <w:rPr>
                <w:noProof/>
                <w:webHidden/>
              </w:rPr>
              <w:tab/>
            </w:r>
            <w:r w:rsidRPr="001F4D39">
              <w:rPr>
                <w:noProof/>
                <w:webHidden/>
              </w:rPr>
              <w:fldChar w:fldCharType="begin"/>
            </w:r>
            <w:r w:rsidRPr="001F4D39">
              <w:rPr>
                <w:noProof/>
                <w:webHidden/>
              </w:rPr>
              <w:instrText xml:space="preserve"> PAGEREF _Toc535863067 \h </w:instrText>
            </w:r>
            <w:r w:rsidRPr="001F4D39">
              <w:rPr>
                <w:noProof/>
                <w:webHidden/>
              </w:rPr>
            </w:r>
            <w:r w:rsidRPr="001F4D39">
              <w:rPr>
                <w:noProof/>
                <w:webHidden/>
              </w:rPr>
              <w:fldChar w:fldCharType="separate"/>
            </w:r>
            <w:r w:rsidR="007230E2">
              <w:rPr>
                <w:noProof/>
                <w:webHidden/>
              </w:rPr>
              <w:t>3</w:t>
            </w:r>
            <w:r w:rsidRPr="001F4D39">
              <w:rPr>
                <w:noProof/>
                <w:webHidden/>
              </w:rPr>
              <w:fldChar w:fldCharType="end"/>
            </w:r>
          </w:hyperlink>
        </w:p>
        <w:p w:rsidR="001F4D39" w:rsidRPr="001F4D39" w:rsidRDefault="001F4D39">
          <w:pPr>
            <w:pStyle w:val="TDC2"/>
            <w:rPr>
              <w:rFonts w:asciiTheme="minorHAnsi" w:eastAsiaTheme="minorEastAsia" w:hAnsiTheme="minorHAnsi" w:cstheme="minorBidi"/>
              <w:noProof/>
              <w:sz w:val="22"/>
              <w:szCs w:val="22"/>
              <w:bdr w:val="none" w:sz="0" w:space="0" w:color="auto"/>
              <w:lang w:eastAsia="es-MX"/>
            </w:rPr>
          </w:pPr>
          <w:hyperlink w:anchor="_Toc535863068" w:history="1">
            <w:r w:rsidRPr="001F4D39">
              <w:rPr>
                <w:rStyle w:val="Hipervnculo"/>
                <w:rFonts w:ascii="Palatino Linotype" w:hAnsi="Palatino Linotype"/>
                <w:noProof/>
                <w:color w:val="auto"/>
              </w:rPr>
              <w:t>III. De las atribuciones, facultades, competencias y funciones del Sujeto Obligado.</w:t>
            </w:r>
            <w:r w:rsidRPr="001F4D39">
              <w:rPr>
                <w:noProof/>
                <w:webHidden/>
              </w:rPr>
              <w:tab/>
            </w:r>
            <w:r w:rsidRPr="001F4D39">
              <w:rPr>
                <w:noProof/>
                <w:webHidden/>
              </w:rPr>
              <w:fldChar w:fldCharType="begin"/>
            </w:r>
            <w:r w:rsidRPr="001F4D39">
              <w:rPr>
                <w:noProof/>
                <w:webHidden/>
              </w:rPr>
              <w:instrText xml:space="preserve"> PAGEREF _Toc535863068 \h </w:instrText>
            </w:r>
            <w:r w:rsidRPr="001F4D39">
              <w:rPr>
                <w:noProof/>
                <w:webHidden/>
              </w:rPr>
            </w:r>
            <w:r w:rsidRPr="001F4D39">
              <w:rPr>
                <w:noProof/>
                <w:webHidden/>
              </w:rPr>
              <w:fldChar w:fldCharType="separate"/>
            </w:r>
            <w:r w:rsidR="007230E2">
              <w:rPr>
                <w:noProof/>
                <w:webHidden/>
              </w:rPr>
              <w:t>4</w:t>
            </w:r>
            <w:r w:rsidRPr="001F4D39">
              <w:rPr>
                <w:noProof/>
                <w:webHidden/>
              </w:rPr>
              <w:fldChar w:fldCharType="end"/>
            </w:r>
          </w:hyperlink>
        </w:p>
        <w:p w:rsidR="001F4D39" w:rsidRPr="001F4D39" w:rsidRDefault="001F4D39">
          <w:pPr>
            <w:pStyle w:val="TDC2"/>
            <w:rPr>
              <w:rFonts w:asciiTheme="minorHAnsi" w:eastAsiaTheme="minorEastAsia" w:hAnsiTheme="minorHAnsi" w:cstheme="minorBidi"/>
              <w:noProof/>
              <w:sz w:val="22"/>
              <w:szCs w:val="22"/>
              <w:bdr w:val="none" w:sz="0" w:space="0" w:color="auto"/>
              <w:lang w:eastAsia="es-MX"/>
            </w:rPr>
          </w:pPr>
          <w:hyperlink w:anchor="_Toc535863069" w:history="1">
            <w:r w:rsidRPr="001F4D39">
              <w:rPr>
                <w:rStyle w:val="Hipervnculo"/>
                <w:rFonts w:ascii="Palatino Linotype" w:hAnsi="Palatino Linotype"/>
                <w:noProof/>
              </w:rPr>
              <w:t>VI. Conclusión.</w:t>
            </w:r>
            <w:r w:rsidRPr="001F4D39">
              <w:rPr>
                <w:noProof/>
                <w:webHidden/>
              </w:rPr>
              <w:tab/>
            </w:r>
            <w:r w:rsidRPr="001F4D39">
              <w:rPr>
                <w:noProof/>
                <w:webHidden/>
              </w:rPr>
              <w:fldChar w:fldCharType="begin"/>
            </w:r>
            <w:r w:rsidRPr="001F4D39">
              <w:rPr>
                <w:noProof/>
                <w:webHidden/>
              </w:rPr>
              <w:instrText xml:space="preserve"> PAGEREF _Toc535863069 \h </w:instrText>
            </w:r>
            <w:r w:rsidRPr="001F4D39">
              <w:rPr>
                <w:noProof/>
                <w:webHidden/>
              </w:rPr>
            </w:r>
            <w:r w:rsidRPr="001F4D39">
              <w:rPr>
                <w:noProof/>
                <w:webHidden/>
              </w:rPr>
              <w:fldChar w:fldCharType="separate"/>
            </w:r>
            <w:r w:rsidR="007230E2">
              <w:rPr>
                <w:noProof/>
                <w:webHidden/>
              </w:rPr>
              <w:t>7</w:t>
            </w:r>
            <w:r w:rsidRPr="001F4D39">
              <w:rPr>
                <w:noProof/>
                <w:webHidden/>
              </w:rPr>
              <w:fldChar w:fldCharType="end"/>
            </w:r>
          </w:hyperlink>
        </w:p>
        <w:p w:rsidR="001933BE" w:rsidRPr="001F4D39" w:rsidRDefault="001933BE" w:rsidP="002F6E68">
          <w:pPr>
            <w:spacing w:before="240" w:after="240" w:line="360" w:lineRule="auto"/>
            <w:ind w:left="284"/>
            <w:rPr>
              <w:color w:val="000000" w:themeColor="text1"/>
            </w:rPr>
          </w:pPr>
          <w:r w:rsidRPr="001F4D39">
            <w:rPr>
              <w:bCs/>
              <w:color w:val="000000" w:themeColor="text1"/>
              <w:lang w:val="es-ES"/>
            </w:rPr>
            <w:fldChar w:fldCharType="end"/>
          </w:r>
        </w:p>
      </w:sdtContent>
    </w:sdt>
    <w:p w:rsidR="001933BE" w:rsidRPr="00FA6405" w:rsidRDefault="001933BE" w:rsidP="001933BE">
      <w:pPr>
        <w:pStyle w:val="Ttulo1"/>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pPr>
      <w:bookmarkStart w:id="0" w:name="_Toc535863066"/>
      <w:r w:rsidRPr="00FA6405">
        <w:lastRenderedPageBreak/>
        <w:t>Consider</w:t>
      </w:r>
      <w:bookmarkStart w:id="1" w:name="_GoBack"/>
      <w:bookmarkEnd w:id="1"/>
      <w:r w:rsidRPr="00FA6405">
        <w:t>aciones Generales</w:t>
      </w:r>
      <w:bookmarkEnd w:id="0"/>
    </w:p>
    <w:p w:rsidR="001933BE" w:rsidRPr="00A407DF" w:rsidRDefault="001933BE" w:rsidP="005A14B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hanging="426"/>
        <w:jc w:val="both"/>
        <w:rPr>
          <w:rFonts w:ascii="Palatino Linotype" w:eastAsiaTheme="minorHAnsi" w:hAnsi="Palatino Linotype" w:cs="Arial"/>
          <w:color w:val="000000" w:themeColor="text1"/>
        </w:rPr>
      </w:pPr>
      <w:r w:rsidRPr="00315772">
        <w:rPr>
          <w:rFonts w:ascii="Palatino Linotype" w:eastAsia="Times New Roman" w:hAnsi="Palatino Linotype" w:cs="Arial"/>
          <w:color w:val="000000" w:themeColor="text1"/>
          <w:lang w:val="es-ES_tradnl"/>
        </w:rPr>
        <w:t xml:space="preserve">He concurrido con mi voto </w:t>
      </w:r>
      <w:r w:rsidR="00A63691">
        <w:rPr>
          <w:rFonts w:ascii="Palatino Linotype" w:eastAsia="Times New Roman" w:hAnsi="Palatino Linotype" w:cs="Arial"/>
          <w:color w:val="000000" w:themeColor="text1"/>
          <w:lang w:val="es-ES_tradnl"/>
        </w:rPr>
        <w:t>disidente</w:t>
      </w:r>
      <w:r w:rsidRPr="00315772">
        <w:rPr>
          <w:rFonts w:ascii="Palatino Linotype" w:eastAsia="Times New Roman" w:hAnsi="Palatino Linotype" w:cs="Arial"/>
          <w:color w:val="000000" w:themeColor="text1"/>
          <w:lang w:val="es-ES_tradnl"/>
        </w:rPr>
        <w:t xml:space="preserve"> de la presente resolución emitida </w:t>
      </w:r>
      <w:r w:rsidRPr="00315772">
        <w:rPr>
          <w:rFonts w:ascii="Palatino Linotype" w:hAnsi="Palatino Linotype" w:cs="Arial"/>
          <w:color w:val="000000" w:themeColor="text1"/>
        </w:rPr>
        <w:t xml:space="preserve">por el Pleno del Instituto de Transparencia, Acceso a la Información Pública y Protección de Datos Personales del Estado de México y Municipios, en su </w:t>
      </w:r>
      <w:r w:rsidR="00EB4980">
        <w:rPr>
          <w:rFonts w:ascii="Palatino Linotype" w:hAnsi="Palatino Linotype" w:cs="Arial"/>
          <w:color w:val="000000" w:themeColor="text1"/>
        </w:rPr>
        <w:t>segunda</w:t>
      </w:r>
      <w:r w:rsidRPr="00315772">
        <w:rPr>
          <w:rFonts w:ascii="Palatino Linotype" w:hAnsi="Palatino Linotype" w:cs="Arial"/>
          <w:color w:val="000000" w:themeColor="text1"/>
        </w:rPr>
        <w:t xml:space="preserve"> sesión ordinaria de fecha </w:t>
      </w:r>
      <w:r w:rsidR="00EB4980">
        <w:rPr>
          <w:rFonts w:ascii="Palatino Linotype" w:eastAsia="Times New Roman" w:hAnsi="Palatino Linotype" w:cs="Arial"/>
          <w:color w:val="000000"/>
          <w:lang w:eastAsia="es-MX"/>
        </w:rPr>
        <w:t>dieciséis</w:t>
      </w:r>
      <w:r w:rsidRPr="00315772">
        <w:rPr>
          <w:rFonts w:ascii="Palatino Linotype" w:eastAsia="Times New Roman" w:hAnsi="Palatino Linotype" w:cs="Arial"/>
          <w:color w:val="000000"/>
          <w:lang w:eastAsia="es-MX"/>
        </w:rPr>
        <w:t xml:space="preserve"> (</w:t>
      </w:r>
      <w:r w:rsidR="00EB4980">
        <w:rPr>
          <w:rFonts w:ascii="Palatino Linotype" w:eastAsia="Times New Roman" w:hAnsi="Palatino Linotype" w:cs="Arial"/>
          <w:color w:val="000000"/>
          <w:lang w:eastAsia="es-MX"/>
        </w:rPr>
        <w:t>16</w:t>
      </w:r>
      <w:r w:rsidRPr="00315772">
        <w:rPr>
          <w:rFonts w:ascii="Palatino Linotype" w:eastAsia="Times New Roman" w:hAnsi="Palatino Linotype" w:cs="Arial"/>
          <w:color w:val="000000"/>
          <w:lang w:eastAsia="es-MX"/>
        </w:rPr>
        <w:t xml:space="preserve">) de </w:t>
      </w:r>
      <w:r w:rsidR="00EB4980">
        <w:rPr>
          <w:rFonts w:ascii="Palatino Linotype" w:eastAsia="Times New Roman" w:hAnsi="Palatino Linotype" w:cs="Arial"/>
          <w:color w:val="000000"/>
          <w:lang w:eastAsia="es-MX"/>
        </w:rPr>
        <w:t>enero</w:t>
      </w:r>
      <w:r w:rsidRPr="00315772">
        <w:rPr>
          <w:rFonts w:ascii="Palatino Linotype" w:eastAsia="Times New Roman" w:hAnsi="Palatino Linotype" w:cs="Arial"/>
          <w:color w:val="000000"/>
          <w:lang w:eastAsia="es-MX"/>
        </w:rPr>
        <w:t xml:space="preserve"> de dos mil dieci</w:t>
      </w:r>
      <w:r w:rsidR="00EB4980">
        <w:rPr>
          <w:rFonts w:ascii="Palatino Linotype" w:eastAsia="Times New Roman" w:hAnsi="Palatino Linotype" w:cs="Arial"/>
          <w:color w:val="000000"/>
          <w:lang w:eastAsia="es-MX"/>
        </w:rPr>
        <w:t>nueve</w:t>
      </w:r>
      <w:r w:rsidRPr="00315772">
        <w:rPr>
          <w:rFonts w:ascii="Palatino Linotype" w:hAnsi="Palatino Linotype" w:cs="Arial"/>
          <w:color w:val="000000" w:themeColor="text1"/>
        </w:rPr>
        <w:t xml:space="preserve">, en el recurso de revisión promovido </w:t>
      </w:r>
      <w:r w:rsidRPr="00315772">
        <w:rPr>
          <w:rFonts w:ascii="Palatino Linotype" w:hAnsi="Palatino Linotype"/>
        </w:rPr>
        <w:t xml:space="preserve">en contra </w:t>
      </w:r>
      <w:r>
        <w:rPr>
          <w:rFonts w:ascii="Palatino Linotype" w:hAnsi="Palatino Linotype"/>
        </w:rPr>
        <w:t>de</w:t>
      </w:r>
      <w:r w:rsidR="00A407DF">
        <w:rPr>
          <w:rFonts w:ascii="Palatino Linotype" w:hAnsi="Palatino Linotype"/>
        </w:rPr>
        <w:t xml:space="preserve"> </w:t>
      </w:r>
      <w:r>
        <w:rPr>
          <w:rFonts w:ascii="Palatino Linotype" w:hAnsi="Palatino Linotype"/>
        </w:rPr>
        <w:t>l</w:t>
      </w:r>
      <w:r w:rsidR="00A407DF">
        <w:rPr>
          <w:rFonts w:ascii="Palatino Linotype" w:hAnsi="Palatino Linotype"/>
        </w:rPr>
        <w:t>a</w:t>
      </w:r>
      <w:r>
        <w:rPr>
          <w:rFonts w:ascii="Palatino Linotype" w:hAnsi="Palatino Linotype"/>
        </w:rPr>
        <w:t xml:space="preserve"> </w:t>
      </w:r>
      <w:r w:rsidR="00A407DF">
        <w:rPr>
          <w:rFonts w:ascii="Palatino Linotype" w:hAnsi="Palatino Linotype"/>
          <w:b/>
        </w:rPr>
        <w:t>Secretaría de la Contraloría</w:t>
      </w:r>
      <w:r w:rsidRPr="00315772">
        <w:rPr>
          <w:rFonts w:ascii="Palatino Linotype" w:hAnsi="Palatino Linotype" w:cs="Arial"/>
          <w:color w:val="000000" w:themeColor="text1"/>
        </w:rPr>
        <w:t xml:space="preserve">, procedimiento al que se le asignó el número de expediente </w:t>
      </w:r>
      <w:r>
        <w:rPr>
          <w:rFonts w:ascii="Palatino Linotype" w:hAnsi="Palatino Linotype"/>
          <w:b/>
        </w:rPr>
        <w:t>0</w:t>
      </w:r>
      <w:r w:rsidR="00EB4980">
        <w:rPr>
          <w:rFonts w:ascii="Palatino Linotype" w:hAnsi="Palatino Linotype"/>
          <w:b/>
        </w:rPr>
        <w:t>4</w:t>
      </w:r>
      <w:r w:rsidR="00A407DF">
        <w:rPr>
          <w:rFonts w:ascii="Palatino Linotype" w:hAnsi="Palatino Linotype"/>
          <w:b/>
        </w:rPr>
        <w:t>147</w:t>
      </w:r>
      <w:r>
        <w:rPr>
          <w:rFonts w:ascii="Palatino Linotype" w:hAnsi="Palatino Linotype"/>
          <w:b/>
        </w:rPr>
        <w:t>/INFOEM/IP/RR/201</w:t>
      </w:r>
      <w:r w:rsidR="00EB4980">
        <w:rPr>
          <w:rFonts w:ascii="Palatino Linotype" w:hAnsi="Palatino Linotype"/>
          <w:b/>
        </w:rPr>
        <w:t>8</w:t>
      </w:r>
      <w:r w:rsidRPr="00315772">
        <w:rPr>
          <w:rFonts w:ascii="Palatino Linotype" w:eastAsia="Times New Roman" w:hAnsi="Palatino Linotype" w:cs="Arial"/>
          <w:b/>
          <w:bCs/>
          <w:color w:val="000000" w:themeColor="text1"/>
          <w:lang w:eastAsia="es-ES"/>
        </w:rPr>
        <w:t>.</w:t>
      </w:r>
    </w:p>
    <w:p w:rsidR="00A407DF" w:rsidRPr="00A407DF" w:rsidRDefault="00A407DF" w:rsidP="00A407D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jc w:val="both"/>
        <w:rPr>
          <w:rFonts w:ascii="Palatino Linotype" w:eastAsiaTheme="minorHAnsi" w:hAnsi="Palatino Linotype" w:cs="Arial"/>
          <w:color w:val="000000" w:themeColor="text1"/>
        </w:rPr>
      </w:pPr>
    </w:p>
    <w:p w:rsidR="00A407DF" w:rsidRPr="00A407DF" w:rsidRDefault="001933BE" w:rsidP="00A407D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hanging="426"/>
        <w:jc w:val="both"/>
        <w:rPr>
          <w:rFonts w:ascii="Palatino Linotype" w:eastAsiaTheme="minorHAnsi" w:hAnsi="Palatino Linotype" w:cs="Arial"/>
          <w:color w:val="000000" w:themeColor="text1"/>
        </w:rPr>
      </w:pPr>
      <w:r w:rsidRPr="00A407DF">
        <w:rPr>
          <w:rFonts w:ascii="Palatino Linotype" w:hAnsi="Palatino Linotype" w:cs="Arial"/>
          <w:color w:val="000000" w:themeColor="text1"/>
        </w:rPr>
        <w:t xml:space="preserve">La resolución señala que es procedente </w:t>
      </w:r>
      <w:r w:rsidR="00A407DF" w:rsidRPr="00A407DF">
        <w:rPr>
          <w:rFonts w:ascii="Palatino Linotype" w:eastAsia="Times New Roman" w:hAnsi="Palatino Linotype" w:cs="Arial"/>
          <w:b/>
        </w:rPr>
        <w:t xml:space="preserve">MODIFICAR </w:t>
      </w:r>
      <w:r w:rsidR="00A407DF" w:rsidRPr="00A407DF">
        <w:rPr>
          <w:rFonts w:ascii="Palatino Linotype" w:eastAsia="Times New Roman" w:hAnsi="Palatino Linotype" w:cs="Arial"/>
        </w:rPr>
        <w:t xml:space="preserve">la respuesta del Sujeto Obligado y ordena atienda la solicitud de información </w:t>
      </w:r>
      <w:r w:rsidR="00A407DF" w:rsidRPr="00A407DF">
        <w:rPr>
          <w:rFonts w:ascii="Palatino Linotype" w:eastAsia="Calibri" w:hAnsi="Palatino Linotype" w:cs="Arial"/>
          <w:b/>
        </w:rPr>
        <w:t>00174/SECOGEM/IP/2018</w:t>
      </w:r>
      <w:r w:rsidR="00A407DF" w:rsidRPr="00A407DF">
        <w:rPr>
          <w:rFonts w:ascii="Palatino Linotype" w:eastAsia="Calibri" w:hAnsi="Palatino Linotype" w:cs="Arial"/>
        </w:rPr>
        <w:t xml:space="preserve"> </w:t>
      </w:r>
      <w:r w:rsidR="00A407DF" w:rsidRPr="00A407DF">
        <w:rPr>
          <w:rFonts w:ascii="Palatino Linotype" w:hAnsi="Palatino Linotype" w:cs="Arial"/>
          <w:bCs/>
        </w:rPr>
        <w:t xml:space="preserve">y haga entrega a </w:t>
      </w:r>
      <w:r w:rsidR="00A407DF" w:rsidRPr="00A407DF">
        <w:rPr>
          <w:rFonts w:ascii="Palatino Linotype" w:hAnsi="Palatino Linotype" w:cs="Arial"/>
          <w:b/>
          <w:bCs/>
        </w:rPr>
        <w:t>LA</w:t>
      </w:r>
      <w:r w:rsidR="00A407DF" w:rsidRPr="00A407DF">
        <w:rPr>
          <w:rFonts w:ascii="Palatino Linotype" w:hAnsi="Palatino Linotype" w:cs="Arial"/>
          <w:bCs/>
        </w:rPr>
        <w:t xml:space="preserve"> </w:t>
      </w:r>
      <w:r w:rsidR="00A407DF" w:rsidRPr="00A407DF">
        <w:rPr>
          <w:rFonts w:ascii="Palatino Linotype" w:hAnsi="Palatino Linotype" w:cs="Arial"/>
          <w:b/>
          <w:bCs/>
        </w:rPr>
        <w:t xml:space="preserve">RECURRENTE, </w:t>
      </w:r>
      <w:r w:rsidR="00A407DF" w:rsidRPr="00A407DF">
        <w:rPr>
          <w:rFonts w:ascii="Palatino Linotype" w:hAnsi="Palatino Linotype" w:cs="Arial"/>
          <w:bCs/>
        </w:rPr>
        <w:t xml:space="preserve">vía </w:t>
      </w:r>
      <w:r w:rsidR="00A407DF" w:rsidRPr="00A407DF">
        <w:rPr>
          <w:rFonts w:ascii="Palatino Linotype" w:hAnsi="Palatino Linotype" w:cs="Arial"/>
          <w:b/>
          <w:bCs/>
        </w:rPr>
        <w:t xml:space="preserve">SAIMEX </w:t>
      </w:r>
      <w:r w:rsidR="00A407DF" w:rsidRPr="00A407DF">
        <w:rPr>
          <w:rFonts w:ascii="Palatino Linotype" w:hAnsi="Palatino Linotype" w:cs="Arial"/>
          <w:bCs/>
        </w:rPr>
        <w:t xml:space="preserve">en términos del Considerando </w:t>
      </w:r>
      <w:r w:rsidR="00A407DF" w:rsidRPr="00A407DF">
        <w:rPr>
          <w:rFonts w:ascii="Palatino Linotype" w:hAnsi="Palatino Linotype" w:cs="Arial"/>
          <w:b/>
          <w:bCs/>
        </w:rPr>
        <w:t>QUINTO</w:t>
      </w:r>
      <w:r w:rsidR="00A407DF" w:rsidRPr="00A407DF">
        <w:rPr>
          <w:rFonts w:ascii="Palatino Linotype" w:hAnsi="Palatino Linotype" w:cs="Arial"/>
          <w:bCs/>
        </w:rPr>
        <w:t xml:space="preserve"> de esta resolución, </w:t>
      </w:r>
      <w:r w:rsidR="00A407DF" w:rsidRPr="00A407DF">
        <w:rPr>
          <w:rFonts w:ascii="Palatino Linotype" w:hAnsi="Palatino Linotype" w:cs="Arial"/>
        </w:rPr>
        <w:t>de lo siguiente:</w:t>
      </w:r>
    </w:p>
    <w:p w:rsidR="00A407DF" w:rsidRPr="000239EE" w:rsidRDefault="00A407DF" w:rsidP="00A407DF">
      <w:pPr>
        <w:ind w:left="851" w:right="618"/>
        <w:jc w:val="both"/>
        <w:rPr>
          <w:rFonts w:ascii="Palatino Linotype" w:hAnsi="Palatino Linotype" w:cs="Arial"/>
          <w:i/>
        </w:rPr>
      </w:pPr>
      <w:r w:rsidRPr="000239EE">
        <w:rPr>
          <w:rFonts w:ascii="Palatino Linotype" w:hAnsi="Palatino Linotype" w:cs="Arial"/>
          <w:i/>
        </w:rPr>
        <w:t>“</w:t>
      </w:r>
      <w:r w:rsidRPr="000239EE">
        <w:rPr>
          <w:rFonts w:ascii="Palatino Linotype" w:hAnsi="Palatino Linotype"/>
          <w:i/>
        </w:rPr>
        <w:t>El Acuerdo de</w:t>
      </w:r>
      <w:r w:rsidRPr="000239EE">
        <w:rPr>
          <w:rFonts w:ascii="Palatino Linotype" w:hAnsi="Palatino Linotype" w:cs="Arial"/>
          <w:i/>
        </w:rPr>
        <w:t xml:space="preserve"> Clasificación de la notificación del laudo y documentos que acompañan la misma, respecto del juicio TECA/1105/2014, como información reservada, de conformidad con en el artículo 140 de la Ley de Transparencia y Acceso a la Información Pública del Estado de México y Municipios y en términos de los artículos 49, fracción VIII, 129 y 141 de la Ley de referencia.”</w:t>
      </w:r>
    </w:p>
    <w:p w:rsidR="00EB4980" w:rsidRPr="00EB4980" w:rsidRDefault="00EB4980" w:rsidP="00A407D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jc w:val="both"/>
        <w:rPr>
          <w:rFonts w:ascii="Palatino Linotype" w:hAnsi="Palatino Linotype" w:cs="Arial"/>
          <w:color w:val="000000" w:themeColor="text1"/>
        </w:rPr>
      </w:pPr>
    </w:p>
    <w:p w:rsidR="001933BE" w:rsidRPr="00806194" w:rsidRDefault="001933BE" w:rsidP="005A14B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hanging="426"/>
        <w:jc w:val="both"/>
        <w:rPr>
          <w:rFonts w:ascii="Palatino Linotype" w:hAnsi="Palatino Linotype"/>
        </w:rPr>
      </w:pPr>
      <w:r w:rsidRPr="00806194">
        <w:rPr>
          <w:rFonts w:ascii="Palatino Linotype" w:hAnsi="Palatino Linotype" w:cs="Arial"/>
          <w:color w:val="000000" w:themeColor="text1"/>
        </w:rPr>
        <w:t xml:space="preserve">Mi voto </w:t>
      </w:r>
      <w:r w:rsidR="00A63691">
        <w:rPr>
          <w:rFonts w:ascii="Palatino Linotype" w:hAnsi="Palatino Linotype" w:cs="Arial"/>
          <w:color w:val="000000" w:themeColor="text1"/>
        </w:rPr>
        <w:t>disidente concurre</w:t>
      </w:r>
      <w:r w:rsidRPr="00806194">
        <w:rPr>
          <w:rFonts w:ascii="Palatino Linotype" w:hAnsi="Palatino Linotype" w:cs="Arial"/>
          <w:color w:val="000000" w:themeColor="text1"/>
        </w:rPr>
        <w:t xml:space="preserve"> al </w:t>
      </w:r>
      <w:r w:rsidR="0030208C">
        <w:rPr>
          <w:rFonts w:ascii="Palatino Linotype" w:hAnsi="Palatino Linotype" w:cs="Arial"/>
          <w:color w:val="000000" w:themeColor="text1"/>
        </w:rPr>
        <w:t xml:space="preserve">haberse </w:t>
      </w:r>
      <w:r w:rsidR="00EB4980">
        <w:rPr>
          <w:rFonts w:ascii="Palatino Linotype" w:hAnsi="Palatino Linotype" w:cs="Arial"/>
          <w:color w:val="000000" w:themeColor="text1"/>
        </w:rPr>
        <w:t xml:space="preserve">determinado </w:t>
      </w:r>
      <w:r w:rsidR="00A407DF">
        <w:rPr>
          <w:rFonts w:ascii="Palatino Linotype" w:hAnsi="Palatino Linotype" w:cs="Arial"/>
          <w:color w:val="000000" w:themeColor="text1"/>
        </w:rPr>
        <w:t>la clasificación</w:t>
      </w:r>
      <w:r w:rsidR="00F705B7">
        <w:rPr>
          <w:rFonts w:ascii="Palatino Linotype" w:hAnsi="Palatino Linotype" w:cs="Arial"/>
          <w:color w:val="000000" w:themeColor="text1"/>
        </w:rPr>
        <w:t xml:space="preserve"> como reservada</w:t>
      </w:r>
      <w:r w:rsidR="00A407DF">
        <w:rPr>
          <w:rFonts w:ascii="Palatino Linotype" w:hAnsi="Palatino Linotype" w:cs="Arial"/>
          <w:color w:val="000000" w:themeColor="text1"/>
        </w:rPr>
        <w:t xml:space="preserve"> de</w:t>
      </w:r>
      <w:r w:rsidR="00F705B7">
        <w:rPr>
          <w:rFonts w:ascii="Palatino Linotype" w:hAnsi="Palatino Linotype" w:cs="Arial"/>
          <w:color w:val="000000" w:themeColor="text1"/>
        </w:rPr>
        <w:t xml:space="preserve"> </w:t>
      </w:r>
      <w:r w:rsidR="00A407DF">
        <w:rPr>
          <w:rFonts w:ascii="Palatino Linotype" w:hAnsi="Palatino Linotype" w:cs="Arial"/>
          <w:color w:val="000000" w:themeColor="text1"/>
        </w:rPr>
        <w:t>l</w:t>
      </w:r>
      <w:r w:rsidR="00F705B7">
        <w:rPr>
          <w:rFonts w:ascii="Palatino Linotype" w:hAnsi="Palatino Linotype" w:cs="Arial"/>
          <w:color w:val="000000" w:themeColor="text1"/>
        </w:rPr>
        <w:t>a notificación del laudo</w:t>
      </w:r>
      <w:r w:rsidR="00A407DF">
        <w:rPr>
          <w:rFonts w:ascii="Palatino Linotype" w:hAnsi="Palatino Linotype" w:cs="Arial"/>
          <w:color w:val="000000" w:themeColor="text1"/>
        </w:rPr>
        <w:t xml:space="preserve"> </w:t>
      </w:r>
      <w:r w:rsidR="00F705B7">
        <w:rPr>
          <w:rFonts w:ascii="Palatino Linotype" w:hAnsi="Palatino Linotype" w:cs="Arial"/>
          <w:color w:val="000000" w:themeColor="text1"/>
        </w:rPr>
        <w:t xml:space="preserve">y documentos que acompañan la misma. </w:t>
      </w:r>
    </w:p>
    <w:p w:rsidR="001933BE" w:rsidRPr="00806194" w:rsidRDefault="001933BE" w:rsidP="001933BE">
      <w:pPr>
        <w:pStyle w:val="Prrafodelista"/>
        <w:spacing w:before="240" w:after="240" w:line="360" w:lineRule="auto"/>
        <w:ind w:left="0"/>
        <w:jc w:val="both"/>
        <w:rPr>
          <w:rFonts w:ascii="Palatino Linotype" w:hAnsi="Palatino Linotype"/>
        </w:rPr>
      </w:pPr>
    </w:p>
    <w:p w:rsidR="001933BE" w:rsidRPr="00B642F2" w:rsidRDefault="001933BE" w:rsidP="005A14B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hanging="426"/>
        <w:jc w:val="both"/>
        <w:rPr>
          <w:rFonts w:ascii="Palatino Linotype" w:hAnsi="Palatino Linotype" w:cs="Arial"/>
          <w:color w:val="000000" w:themeColor="text1"/>
        </w:rPr>
      </w:pPr>
      <w:r w:rsidRPr="00B642F2">
        <w:rPr>
          <w:rFonts w:ascii="Palatino Linotype" w:hAnsi="Palatino Linotype" w:cs="Arial"/>
          <w:color w:val="000000" w:themeColor="text1"/>
        </w:rPr>
        <w:lastRenderedPageBreak/>
        <w:t xml:space="preserve">Por tal motivo y en términos de lo señalado por el artículo 14 fracción XI del Reglamento Interior del Instituto de Transparencia y Acceso a la Información Pública del Estado de México y Municipios formulo el presente voto </w:t>
      </w:r>
      <w:r w:rsidR="002F6E68">
        <w:rPr>
          <w:rFonts w:ascii="Palatino Linotype" w:hAnsi="Palatino Linotype" w:cs="Arial"/>
          <w:color w:val="000000" w:themeColor="text1"/>
        </w:rPr>
        <w:t>disidente</w:t>
      </w:r>
      <w:r w:rsidRPr="00B642F2">
        <w:rPr>
          <w:rFonts w:ascii="Palatino Linotype" w:hAnsi="Palatino Linotype" w:cs="Arial"/>
          <w:color w:val="000000" w:themeColor="text1"/>
        </w:rPr>
        <w:t xml:space="preserve">. </w:t>
      </w:r>
    </w:p>
    <w:p w:rsidR="001933BE" w:rsidRPr="00B642F2" w:rsidRDefault="001933BE" w:rsidP="001933BE">
      <w:pPr>
        <w:pStyle w:val="Prrafodelista"/>
        <w:spacing w:before="240" w:after="240" w:line="360" w:lineRule="auto"/>
        <w:ind w:left="426"/>
        <w:jc w:val="both"/>
        <w:rPr>
          <w:rFonts w:ascii="Palatino Linotype" w:hAnsi="Palatino Linotype" w:cs="Arial"/>
          <w:color w:val="000000" w:themeColor="text1"/>
        </w:rPr>
      </w:pPr>
    </w:p>
    <w:p w:rsidR="001933BE" w:rsidRPr="002F6E68" w:rsidRDefault="001933BE" w:rsidP="001933BE">
      <w:pPr>
        <w:pStyle w:val="Ttulo1"/>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pPr>
      <w:bookmarkStart w:id="2" w:name="_Toc535863067"/>
      <w:r w:rsidRPr="002F6E68">
        <w:t>De los requerimientos planteados en el recurso de revisión.</w:t>
      </w:r>
      <w:bookmarkEnd w:id="2"/>
    </w:p>
    <w:p w:rsidR="00F705B7" w:rsidRPr="00F705B7" w:rsidRDefault="001C5397" w:rsidP="00F705B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rPr>
          <w:rFonts w:ascii="Palatino Linotype" w:hAnsi="Palatino Linotype" w:cs="Arial"/>
        </w:rPr>
      </w:pPr>
      <w:r>
        <w:rPr>
          <w:rFonts w:ascii="Palatino Linotype" w:hAnsi="Palatino Linotype"/>
        </w:rPr>
        <w:t>El particular</w:t>
      </w:r>
      <w:r w:rsidR="001933BE" w:rsidRPr="002F6E68">
        <w:rPr>
          <w:rFonts w:ascii="Palatino Linotype" w:hAnsi="Palatino Linotype"/>
          <w:b/>
        </w:rPr>
        <w:t xml:space="preserve"> </w:t>
      </w:r>
      <w:r w:rsidR="001933BE" w:rsidRPr="002F6E68">
        <w:rPr>
          <w:rFonts w:ascii="Palatino Linotype" w:hAnsi="Palatino Linotype" w:cs="Arial"/>
          <w:color w:val="000000" w:themeColor="text1"/>
        </w:rPr>
        <w:t xml:space="preserve">mediante la solicitud de acceso a la información </w:t>
      </w:r>
      <w:r w:rsidRPr="001C5397">
        <w:rPr>
          <w:rFonts w:ascii="Palatino Linotype" w:hAnsi="Palatino Linotype" w:cs="Arial"/>
          <w:b/>
        </w:rPr>
        <w:t>00539/FGJ/IP/2018</w:t>
      </w:r>
      <w:r>
        <w:rPr>
          <w:rFonts w:ascii="Palatino Linotype" w:hAnsi="Palatino Linotype" w:cs="Arial"/>
          <w:b/>
        </w:rPr>
        <w:t xml:space="preserve"> </w:t>
      </w:r>
      <w:r w:rsidR="001933BE" w:rsidRPr="002F6E68">
        <w:rPr>
          <w:rFonts w:ascii="Palatino Linotype" w:hAnsi="Palatino Linotype" w:cs="Arial"/>
          <w:color w:val="000000" w:themeColor="text1"/>
        </w:rPr>
        <w:t>requirió</w:t>
      </w:r>
      <w:r w:rsidR="001933BE" w:rsidRPr="002F6E68">
        <w:rPr>
          <w:rFonts w:ascii="Palatino Linotype" w:hAnsi="Palatino Linotype" w:cs="Arial"/>
        </w:rPr>
        <w:t xml:space="preserve"> que el </w:t>
      </w:r>
      <w:r w:rsidR="001933BE" w:rsidRPr="002F6E68">
        <w:rPr>
          <w:rFonts w:ascii="Palatino Linotype" w:hAnsi="Palatino Linotype" w:cs="Arial"/>
          <w:b/>
        </w:rPr>
        <w:t>SUJETO OBLIGADO</w:t>
      </w:r>
      <w:r w:rsidR="001933BE" w:rsidRPr="002F6E68">
        <w:rPr>
          <w:rFonts w:ascii="Palatino Linotype" w:hAnsi="Palatino Linotype" w:cs="Arial"/>
        </w:rPr>
        <w:t xml:space="preserve"> le proporcionara, vía Sistema de Acceso a la Información Mexiq</w:t>
      </w:r>
      <w:r w:rsidR="00F705B7">
        <w:rPr>
          <w:rFonts w:ascii="Palatino Linotype" w:hAnsi="Palatino Linotype" w:cs="Arial"/>
        </w:rPr>
        <w:t>uense (SAIMEX) la</w:t>
      </w:r>
      <w:r w:rsidR="00F705B7" w:rsidRPr="00F705B7">
        <w:rPr>
          <w:rFonts w:ascii="Palatino Linotype" w:hAnsi="Palatino Linotype" w:cs="Arial"/>
        </w:rPr>
        <w:t xml:space="preserve"> documentación que le fue notificada sobre el laudo en el juicio laboral número TECA/1105/2014.</w:t>
      </w:r>
    </w:p>
    <w:p w:rsidR="001933BE" w:rsidRPr="00692CB2" w:rsidRDefault="001933BE" w:rsidP="001933BE">
      <w:pPr>
        <w:pStyle w:val="Prrafodelista"/>
        <w:spacing w:before="240" w:after="240" w:line="360" w:lineRule="auto"/>
        <w:ind w:left="0" w:right="49"/>
        <w:jc w:val="both"/>
        <w:rPr>
          <w:rFonts w:ascii="Palatino Linotype" w:hAnsi="Palatino Linotype" w:cs="Arial"/>
        </w:rPr>
      </w:pPr>
    </w:p>
    <w:p w:rsidR="00F705B7" w:rsidRDefault="001933BE" w:rsidP="00F705B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rPr>
          <w:rFonts w:ascii="Palatino Linotype" w:hAnsi="Palatino Linotype" w:cs="Arial"/>
        </w:rPr>
      </w:pPr>
      <w:r w:rsidRPr="00F705B7">
        <w:rPr>
          <w:rFonts w:ascii="Palatino Linotype" w:hAnsi="Palatino Linotype" w:cs="Arial"/>
          <w:color w:val="000000" w:themeColor="text1"/>
        </w:rPr>
        <w:t xml:space="preserve">En atención a dicha solicitud el </w:t>
      </w:r>
      <w:r w:rsidRPr="00F705B7">
        <w:rPr>
          <w:rFonts w:ascii="Palatino Linotype" w:hAnsi="Palatino Linotype" w:cs="Arial"/>
          <w:b/>
          <w:color w:val="000000" w:themeColor="text1"/>
        </w:rPr>
        <w:t>SUJETO OBLIGADO</w:t>
      </w:r>
      <w:r w:rsidRPr="00F705B7">
        <w:rPr>
          <w:rFonts w:ascii="Palatino Linotype" w:hAnsi="Palatino Linotype" w:cs="Arial"/>
          <w:color w:val="000000" w:themeColor="text1"/>
        </w:rPr>
        <w:t xml:space="preserve"> </w:t>
      </w:r>
      <w:r w:rsidR="00F705B7" w:rsidRPr="000239EE">
        <w:rPr>
          <w:rFonts w:ascii="Palatino Linotype" w:hAnsi="Palatino Linotype" w:cs="Arial"/>
        </w:rPr>
        <w:t>entregó el Acuerdo emitido por el Comité de Transparencia mediante el cual clasificó como reservada la documentación solicitada por la particular.</w:t>
      </w:r>
    </w:p>
    <w:p w:rsidR="00F705B7" w:rsidRPr="00F705B7" w:rsidRDefault="00F705B7" w:rsidP="00F705B7">
      <w:pPr>
        <w:pStyle w:val="Prrafodelista"/>
        <w:rPr>
          <w:rFonts w:ascii="Palatino Linotype" w:hAnsi="Palatino Linotype" w:cs="Arial"/>
        </w:rPr>
      </w:pPr>
    </w:p>
    <w:p w:rsidR="001933BE" w:rsidRPr="00F705B7" w:rsidRDefault="001C5397" w:rsidP="00F705B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rPr>
          <w:rFonts w:ascii="Palatino Linotype" w:hAnsi="Palatino Linotype" w:cstheme="minorBidi"/>
        </w:rPr>
      </w:pPr>
      <w:r w:rsidRPr="00F705B7">
        <w:rPr>
          <w:rFonts w:ascii="Palatino Linotype" w:hAnsi="Palatino Linotype"/>
          <w:color w:val="000000" w:themeColor="text1"/>
          <w:lang w:val="es-ES_tradnl"/>
        </w:rPr>
        <w:t>Motivo por el cual el particular se dolió e interpuso el recurso de revisión que ahora se resuelve señalando en las razones o motivo</w:t>
      </w:r>
      <w:r w:rsidR="00F705B7">
        <w:rPr>
          <w:rFonts w:ascii="Palatino Linotype" w:hAnsi="Palatino Linotype"/>
          <w:color w:val="000000" w:themeColor="text1"/>
          <w:lang w:val="es-ES_tradnl"/>
        </w:rPr>
        <w:t xml:space="preserve">s de inconformidad que: </w:t>
      </w:r>
      <w:r w:rsidR="00F705B7">
        <w:rPr>
          <w:rFonts w:ascii="Palatino Linotype" w:hAnsi="Palatino Linotype"/>
          <w:i/>
          <w:color w:val="000000" w:themeColor="text1"/>
          <w:lang w:val="es-ES_tradnl"/>
        </w:rPr>
        <w:t>“el amparo directo al que alude el sujeto obligado ya se encuentra como asunto definitiva y totalmente concluido, y en consecuencia, puede entregar la información generada por el sujeto obligado que se le peticiono, en la expresión documental que corresponda. (Sic)</w:t>
      </w:r>
    </w:p>
    <w:p w:rsidR="00F705B7" w:rsidRPr="00F705B7" w:rsidRDefault="00F705B7" w:rsidP="00F705B7">
      <w:pPr>
        <w:pStyle w:val="Prrafodelista"/>
        <w:rPr>
          <w:rFonts w:ascii="Palatino Linotype" w:hAnsi="Palatino Linotype" w:cstheme="minorBidi"/>
        </w:rPr>
      </w:pPr>
    </w:p>
    <w:p w:rsidR="00F705B7" w:rsidRPr="00F705B7" w:rsidRDefault="00F705B7" w:rsidP="00F705B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jc w:val="both"/>
        <w:rPr>
          <w:rFonts w:ascii="Palatino Linotype" w:hAnsi="Palatino Linotype" w:cstheme="minorBidi"/>
        </w:rPr>
      </w:pPr>
    </w:p>
    <w:p w:rsidR="009C1935" w:rsidRPr="009C1935" w:rsidRDefault="009C1935" w:rsidP="009C1935">
      <w:pPr>
        <w:pStyle w:val="Prrafodelista"/>
        <w:rPr>
          <w:rFonts w:ascii="Palatino Linotype" w:hAnsi="Palatino Linotype" w:cs="Arial"/>
        </w:rPr>
      </w:pPr>
    </w:p>
    <w:p w:rsidR="0095054D" w:rsidRPr="000239EE" w:rsidRDefault="00F705B7" w:rsidP="0095054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rPr>
          <w:rFonts w:ascii="Palatino Linotype" w:eastAsia="Palatino Linotype" w:hAnsi="Palatino Linotype" w:cs="Palatino Linotype"/>
        </w:rPr>
      </w:pPr>
      <w:r>
        <w:rPr>
          <w:rFonts w:ascii="Palatino Linotype" w:hAnsi="Palatino Linotype" w:cs="Arial"/>
        </w:rPr>
        <w:lastRenderedPageBreak/>
        <w:t xml:space="preserve">Respuesta que </w:t>
      </w:r>
      <w:r w:rsidR="0095054D">
        <w:rPr>
          <w:rFonts w:ascii="Palatino Linotype" w:hAnsi="Palatino Linotype" w:cs="Arial"/>
        </w:rPr>
        <w:t xml:space="preserve">el Sujeto Obligado </w:t>
      </w:r>
      <w:r>
        <w:rPr>
          <w:rFonts w:ascii="Palatino Linotype" w:hAnsi="Palatino Linotype" w:cs="Arial"/>
        </w:rPr>
        <w:t>ratificó en e</w:t>
      </w:r>
      <w:r w:rsidR="0095054D">
        <w:rPr>
          <w:rFonts w:ascii="Palatino Linotype" w:hAnsi="Palatino Linotype" w:cs="Arial"/>
        </w:rPr>
        <w:t xml:space="preserve">l informe justificado y en la diligencia para mejor proveer argumento que </w:t>
      </w:r>
      <w:r w:rsidR="0095054D" w:rsidRPr="000239EE">
        <w:rPr>
          <w:rFonts w:ascii="Palatino Linotype" w:eastAsia="Palatino Linotype" w:hAnsi="Palatino Linotype" w:cs="Palatino Linotype"/>
        </w:rPr>
        <w:t xml:space="preserve">a la fecha de la solicitud de información, es decir, el cuatro de octubre de dos mil dieciocho, el expediente laboral referido contaba ya con una sentencia de amparo en la que se le condenaba a la reinstalación de la servidora pública; sin embargo, refirió que no se ha podido dar cumplimiento a dicha sentencia toda vez que la parte actora promovió en fecha veintisiete de noviembre de dos mil dieciocho una nueva demanda de amparo, situación que a decir del </w:t>
      </w:r>
      <w:r w:rsidR="0095054D" w:rsidRPr="000239EE">
        <w:rPr>
          <w:rFonts w:ascii="Palatino Linotype" w:eastAsia="Palatino Linotype" w:hAnsi="Palatino Linotype" w:cs="Palatino Linotype"/>
          <w:b/>
        </w:rPr>
        <w:t xml:space="preserve">SUJETO OBLIGADO </w:t>
      </w:r>
      <w:r w:rsidR="0095054D" w:rsidRPr="000239EE">
        <w:rPr>
          <w:rFonts w:ascii="Palatino Linotype" w:eastAsia="Palatino Linotype" w:hAnsi="Palatino Linotype" w:cs="Palatino Linotype"/>
        </w:rPr>
        <w:t>generó un conflicto de intereses, pues procesalmente no se puede dar cumplimiento a la sentencia de amparo.</w:t>
      </w:r>
    </w:p>
    <w:p w:rsidR="001933BE" w:rsidRPr="0054250E" w:rsidRDefault="001933BE" w:rsidP="0095054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jc w:val="both"/>
        <w:rPr>
          <w:rFonts w:ascii="Palatino Linotype" w:hAnsi="Palatino Linotype" w:cstheme="minorBidi"/>
        </w:rPr>
      </w:pPr>
    </w:p>
    <w:p w:rsidR="0054250E" w:rsidRPr="0054250E" w:rsidRDefault="0054250E" w:rsidP="0054250E">
      <w:pPr>
        <w:pStyle w:val="Prrafodelista"/>
        <w:rPr>
          <w:rFonts w:ascii="Palatino Linotype" w:hAnsi="Palatino Linotype" w:cstheme="minorBidi"/>
        </w:rPr>
      </w:pPr>
    </w:p>
    <w:p w:rsidR="001933BE" w:rsidRDefault="001933BE" w:rsidP="001933BE">
      <w:pPr>
        <w:pStyle w:val="Ttulo2"/>
        <w:rPr>
          <w:rFonts w:ascii="Palatino Linotype" w:hAnsi="Palatino Linotype"/>
          <w:b/>
          <w:color w:val="000000" w:themeColor="text1"/>
          <w:sz w:val="24"/>
          <w:szCs w:val="24"/>
        </w:rPr>
      </w:pPr>
      <w:bookmarkStart w:id="3" w:name="_Toc535863068"/>
      <w:r w:rsidRPr="001933BE">
        <w:rPr>
          <w:rFonts w:ascii="Palatino Linotype" w:hAnsi="Palatino Linotype"/>
          <w:b/>
          <w:color w:val="000000" w:themeColor="text1"/>
          <w:sz w:val="24"/>
          <w:szCs w:val="24"/>
        </w:rPr>
        <w:t>III. De</w:t>
      </w:r>
      <w:r w:rsidR="00A86B9D">
        <w:rPr>
          <w:rFonts w:ascii="Palatino Linotype" w:hAnsi="Palatino Linotype"/>
          <w:b/>
          <w:color w:val="000000" w:themeColor="text1"/>
          <w:sz w:val="24"/>
          <w:szCs w:val="24"/>
        </w:rPr>
        <w:t xml:space="preserve"> </w:t>
      </w:r>
      <w:r w:rsidR="0095054D">
        <w:rPr>
          <w:rFonts w:ascii="Palatino Linotype" w:hAnsi="Palatino Linotype"/>
          <w:b/>
          <w:color w:val="000000" w:themeColor="text1"/>
          <w:sz w:val="24"/>
          <w:szCs w:val="24"/>
        </w:rPr>
        <w:t>la naturaleza jurídica y pública de los laudos</w:t>
      </w:r>
      <w:r w:rsidRPr="001933BE">
        <w:rPr>
          <w:rFonts w:ascii="Palatino Linotype" w:hAnsi="Palatino Linotype"/>
          <w:b/>
          <w:color w:val="000000" w:themeColor="text1"/>
          <w:sz w:val="24"/>
          <w:szCs w:val="24"/>
        </w:rPr>
        <w:t>.</w:t>
      </w:r>
      <w:bookmarkEnd w:id="3"/>
    </w:p>
    <w:p w:rsidR="002F6E68" w:rsidRDefault="002F6E68" w:rsidP="002F6E68"/>
    <w:p w:rsidR="0095054D" w:rsidRPr="00C727A9" w:rsidRDefault="0095054D" w:rsidP="0095054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rPr>
          <w:rFonts w:ascii="Palatino Linotype" w:eastAsia="Calibri" w:hAnsi="Palatino Linotype"/>
        </w:rPr>
      </w:pPr>
      <w:r>
        <w:rPr>
          <w:rFonts w:ascii="Palatino Linotype" w:eastAsia="Calibri" w:hAnsi="Palatino Linotype"/>
        </w:rPr>
        <w:t>L</w:t>
      </w:r>
      <w:r>
        <w:rPr>
          <w:rFonts w:ascii="Palatino Linotype" w:eastAsia="Calibri" w:hAnsi="Palatino Linotype"/>
        </w:rPr>
        <w:t xml:space="preserve">os artículos 1, 2,92, </w:t>
      </w:r>
      <w:r w:rsidRPr="00C727A9">
        <w:rPr>
          <w:rFonts w:ascii="Palatino Linotype" w:eastAsia="Calibri" w:hAnsi="Palatino Linotype"/>
        </w:rPr>
        <w:t xml:space="preserve">98, fracción VI y 251  de la Ley del Trabajo de los Servidores Públicos del Estado de México y Municipios, </w:t>
      </w:r>
      <w:r>
        <w:rPr>
          <w:rFonts w:ascii="Palatino Linotype" w:eastAsia="Calibri" w:hAnsi="Palatino Linotype"/>
        </w:rPr>
        <w:t>establecen</w:t>
      </w:r>
      <w:r w:rsidRPr="00C727A9">
        <w:rPr>
          <w:rFonts w:ascii="Palatino Linotype" w:eastAsia="Calibri" w:hAnsi="Palatino Linotype"/>
        </w:rPr>
        <w:t xml:space="preserve"> se cita:</w:t>
      </w:r>
    </w:p>
    <w:p w:rsidR="0095054D" w:rsidRPr="00C727A9" w:rsidRDefault="0095054D" w:rsidP="0095054D">
      <w:pPr>
        <w:spacing w:line="360" w:lineRule="auto"/>
        <w:ind w:left="851" w:right="901"/>
        <w:jc w:val="both"/>
        <w:rPr>
          <w:rFonts w:ascii="Palatino Linotype" w:eastAsia="Calibri" w:hAnsi="Palatino Linotype"/>
          <w:i/>
          <w:sz w:val="22"/>
          <w:szCs w:val="22"/>
        </w:rPr>
      </w:pPr>
      <w:r>
        <w:rPr>
          <w:rFonts w:ascii="Palatino Linotype" w:eastAsia="Calibri" w:hAnsi="Palatino Linotype"/>
          <w:b/>
          <w:i/>
          <w:sz w:val="22"/>
          <w:szCs w:val="22"/>
        </w:rPr>
        <w:t>“</w:t>
      </w:r>
      <w:r w:rsidRPr="00C727A9">
        <w:rPr>
          <w:rFonts w:ascii="Palatino Linotype" w:eastAsia="Calibri" w:hAnsi="Palatino Linotype"/>
          <w:b/>
          <w:i/>
          <w:sz w:val="22"/>
          <w:szCs w:val="22"/>
        </w:rPr>
        <w:t>ARTÍCULO 1</w:t>
      </w:r>
      <w:r w:rsidRPr="00C727A9">
        <w:rPr>
          <w:rFonts w:ascii="Palatino Linotype" w:eastAsia="Calibri" w:hAnsi="Palatino Linotype"/>
          <w:i/>
          <w:sz w:val="22"/>
          <w:szCs w:val="22"/>
        </w:rPr>
        <w:t xml:space="preserve">.- </w:t>
      </w:r>
      <w:r w:rsidRPr="00C727A9">
        <w:rPr>
          <w:rFonts w:ascii="Palatino Linotype" w:hAnsi="Palatino Linotype" w:cs="Arial"/>
          <w:i/>
          <w:sz w:val="22"/>
          <w:szCs w:val="22"/>
          <w:lang w:eastAsia="es-MX"/>
        </w:rPr>
        <w:t>Ésta</w:t>
      </w:r>
      <w:r w:rsidRPr="00C727A9">
        <w:rPr>
          <w:rFonts w:ascii="Palatino Linotype" w:eastAsia="Calibri" w:hAnsi="Palatino Linotype"/>
          <w:i/>
          <w:sz w:val="22"/>
          <w:szCs w:val="22"/>
        </w:rPr>
        <w:t xml:space="preserve"> ley es de orden público e interés social y tiene por objeto regular las relaciones de </w:t>
      </w:r>
      <w:r w:rsidRPr="00C727A9">
        <w:rPr>
          <w:rFonts w:ascii="Palatino Linotype" w:hAnsi="Palatino Linotype" w:cs="Arial"/>
          <w:i/>
          <w:sz w:val="22"/>
          <w:szCs w:val="22"/>
          <w:lang w:eastAsia="es-MX"/>
        </w:rPr>
        <w:t>trabajo</w:t>
      </w:r>
      <w:r w:rsidRPr="00C727A9">
        <w:rPr>
          <w:rFonts w:ascii="Palatino Linotype" w:eastAsia="Calibri" w:hAnsi="Palatino Linotype"/>
          <w:i/>
          <w:sz w:val="22"/>
          <w:szCs w:val="22"/>
        </w:rPr>
        <w:t>, c</w:t>
      </w:r>
      <w:r w:rsidRPr="0095054D">
        <w:rPr>
          <w:rFonts w:ascii="Palatino Linotype" w:eastAsia="Calibri" w:hAnsi="Palatino Linotype"/>
          <w:b/>
          <w:i/>
          <w:sz w:val="22"/>
          <w:szCs w:val="22"/>
        </w:rPr>
        <w:t>omprendidas entre los poderes públicos del Estado y los</w:t>
      </w:r>
      <w:r w:rsidRPr="00C727A9">
        <w:rPr>
          <w:rFonts w:ascii="Palatino Linotype" w:eastAsia="Calibri" w:hAnsi="Palatino Linotype"/>
          <w:i/>
          <w:sz w:val="22"/>
          <w:szCs w:val="22"/>
        </w:rPr>
        <w:t xml:space="preserve"> </w:t>
      </w:r>
      <w:r w:rsidRPr="00C727A9">
        <w:rPr>
          <w:rFonts w:ascii="Palatino Linotype" w:eastAsia="Calibri" w:hAnsi="Palatino Linotype"/>
          <w:b/>
          <w:i/>
          <w:sz w:val="22"/>
          <w:szCs w:val="22"/>
        </w:rPr>
        <w:t>Municipios y sus respectivos servidores públicos</w:t>
      </w:r>
      <w:r w:rsidRPr="00C727A9">
        <w:rPr>
          <w:rFonts w:ascii="Palatino Linotype" w:eastAsia="Calibri" w:hAnsi="Palatino Linotype"/>
          <w:i/>
          <w:sz w:val="22"/>
          <w:szCs w:val="22"/>
        </w:rPr>
        <w:t xml:space="preserve">. </w:t>
      </w:r>
    </w:p>
    <w:p w:rsidR="0095054D" w:rsidRPr="00C727A9" w:rsidRDefault="0095054D" w:rsidP="0095054D">
      <w:pPr>
        <w:spacing w:line="360" w:lineRule="auto"/>
        <w:ind w:left="851" w:right="901"/>
        <w:jc w:val="both"/>
        <w:rPr>
          <w:rFonts w:ascii="Palatino Linotype" w:eastAsia="Calibri" w:hAnsi="Palatino Linotype"/>
          <w:b/>
          <w:i/>
          <w:sz w:val="22"/>
          <w:szCs w:val="22"/>
        </w:rPr>
      </w:pPr>
      <w:r w:rsidRPr="00C727A9">
        <w:rPr>
          <w:rFonts w:ascii="Palatino Linotype" w:eastAsia="Calibri" w:hAnsi="Palatino Linotype"/>
          <w:i/>
          <w:sz w:val="22"/>
          <w:szCs w:val="22"/>
        </w:rPr>
        <w:t xml:space="preserve">Igualmente, se regulan por esta ley las relaciones de trabajo entre los tribunales administrativos, los organismos descentralizados, fideicomisos de carácter estatal y municipal y los órganos autónomos que sus leyes de creación así lo </w:t>
      </w:r>
      <w:r w:rsidRPr="00C727A9">
        <w:rPr>
          <w:rFonts w:ascii="Palatino Linotype" w:hAnsi="Palatino Linotype" w:cs="Arial"/>
          <w:i/>
          <w:sz w:val="22"/>
          <w:szCs w:val="22"/>
          <w:lang w:eastAsia="es-MX"/>
        </w:rPr>
        <w:t>determinen</w:t>
      </w:r>
      <w:r w:rsidRPr="00C727A9">
        <w:rPr>
          <w:rFonts w:ascii="Palatino Linotype" w:eastAsia="Calibri" w:hAnsi="Palatino Linotype"/>
          <w:i/>
          <w:sz w:val="22"/>
          <w:szCs w:val="22"/>
        </w:rPr>
        <w:t xml:space="preserve"> </w:t>
      </w:r>
      <w:r w:rsidRPr="00C727A9">
        <w:rPr>
          <w:rFonts w:ascii="Palatino Linotype" w:eastAsia="Calibri" w:hAnsi="Palatino Linotype"/>
          <w:b/>
          <w:i/>
          <w:sz w:val="22"/>
          <w:szCs w:val="22"/>
        </w:rPr>
        <w:t>y sus servidores públicos</w:t>
      </w:r>
    </w:p>
    <w:p w:rsidR="0095054D" w:rsidRPr="00C727A9" w:rsidRDefault="0095054D" w:rsidP="0095054D">
      <w:pPr>
        <w:spacing w:line="360" w:lineRule="auto"/>
        <w:ind w:left="851" w:right="901"/>
        <w:jc w:val="both"/>
        <w:rPr>
          <w:rFonts w:ascii="Palatino Linotype" w:eastAsia="Calibri" w:hAnsi="Palatino Linotype"/>
          <w:i/>
          <w:sz w:val="22"/>
          <w:szCs w:val="22"/>
        </w:rPr>
      </w:pPr>
      <w:r w:rsidRPr="00C727A9">
        <w:rPr>
          <w:rFonts w:ascii="Palatino Linotype" w:eastAsia="Calibri" w:hAnsi="Palatino Linotype"/>
          <w:i/>
          <w:sz w:val="22"/>
          <w:szCs w:val="22"/>
        </w:rPr>
        <w:lastRenderedPageBreak/>
        <w:t>(…)”</w:t>
      </w:r>
    </w:p>
    <w:p w:rsidR="0095054D" w:rsidRPr="00C727A9" w:rsidRDefault="0095054D" w:rsidP="0095054D">
      <w:pPr>
        <w:spacing w:line="360" w:lineRule="auto"/>
        <w:ind w:left="851" w:right="901"/>
        <w:jc w:val="both"/>
        <w:rPr>
          <w:rFonts w:ascii="Palatino Linotype" w:eastAsia="Calibri" w:hAnsi="Palatino Linotype"/>
          <w:b/>
          <w:i/>
          <w:sz w:val="22"/>
          <w:szCs w:val="22"/>
        </w:rPr>
      </w:pPr>
    </w:p>
    <w:p w:rsidR="0095054D" w:rsidRDefault="0095054D" w:rsidP="0095054D">
      <w:pPr>
        <w:spacing w:line="360" w:lineRule="auto"/>
        <w:ind w:left="851" w:right="901"/>
        <w:jc w:val="both"/>
        <w:rPr>
          <w:rFonts w:ascii="Palatino Linotype" w:eastAsia="Calibri" w:hAnsi="Palatino Linotype"/>
          <w:b/>
          <w:i/>
          <w:sz w:val="22"/>
          <w:szCs w:val="22"/>
        </w:rPr>
      </w:pPr>
      <w:r w:rsidRPr="00C727A9">
        <w:rPr>
          <w:rFonts w:ascii="Palatino Linotype" w:eastAsia="Calibri" w:hAnsi="Palatino Linotype"/>
          <w:b/>
          <w:i/>
          <w:sz w:val="22"/>
          <w:szCs w:val="22"/>
        </w:rPr>
        <w:t>ARTÍCULO 2</w:t>
      </w:r>
      <w:r w:rsidRPr="00C727A9">
        <w:rPr>
          <w:rFonts w:ascii="Palatino Linotype" w:eastAsia="Calibri" w:hAnsi="Palatino Linotype"/>
          <w:i/>
          <w:sz w:val="22"/>
          <w:szCs w:val="22"/>
        </w:rPr>
        <w:t xml:space="preserve">. </w:t>
      </w:r>
      <w:r w:rsidRPr="00C727A9">
        <w:rPr>
          <w:rFonts w:ascii="Palatino Linotype" w:eastAsia="Calibri" w:hAnsi="Palatino Linotype"/>
          <w:b/>
          <w:i/>
          <w:sz w:val="22"/>
          <w:szCs w:val="22"/>
        </w:rPr>
        <w:t>Son sujetos de esta ley los servidores público</w:t>
      </w:r>
      <w:r>
        <w:rPr>
          <w:rFonts w:ascii="Palatino Linotype" w:eastAsia="Calibri" w:hAnsi="Palatino Linotype"/>
          <w:b/>
          <w:i/>
          <w:sz w:val="22"/>
          <w:szCs w:val="22"/>
        </w:rPr>
        <w:t>s y las instituciones públicas.</w:t>
      </w:r>
    </w:p>
    <w:p w:rsidR="0095054D" w:rsidRDefault="0095054D" w:rsidP="0095054D">
      <w:pPr>
        <w:spacing w:line="360" w:lineRule="auto"/>
        <w:ind w:left="851" w:right="901"/>
        <w:jc w:val="both"/>
        <w:rPr>
          <w:rFonts w:ascii="Palatino Linotype" w:eastAsia="Calibri" w:hAnsi="Palatino Linotype"/>
          <w:i/>
          <w:sz w:val="22"/>
          <w:szCs w:val="22"/>
        </w:rPr>
      </w:pPr>
    </w:p>
    <w:p w:rsidR="0095054D" w:rsidRPr="00C727A9" w:rsidRDefault="0095054D" w:rsidP="0095054D">
      <w:pPr>
        <w:spacing w:line="360" w:lineRule="auto"/>
        <w:ind w:left="851" w:right="901"/>
        <w:jc w:val="both"/>
        <w:rPr>
          <w:rFonts w:ascii="Palatino Linotype" w:eastAsia="Calibri" w:hAnsi="Palatino Linotype"/>
          <w:i/>
          <w:sz w:val="22"/>
          <w:szCs w:val="22"/>
        </w:rPr>
      </w:pPr>
      <w:r w:rsidRPr="009700A7">
        <w:rPr>
          <w:rFonts w:ascii="Palatino Linotype" w:eastAsia="Calibri" w:hAnsi="Palatino Linotype"/>
          <w:b/>
          <w:i/>
          <w:sz w:val="22"/>
          <w:szCs w:val="22"/>
        </w:rPr>
        <w:t>ARTÍCULO 92</w:t>
      </w:r>
      <w:r w:rsidRPr="009700A7">
        <w:rPr>
          <w:rFonts w:ascii="Palatino Linotype" w:eastAsia="Calibri" w:hAnsi="Palatino Linotype"/>
          <w:i/>
          <w:sz w:val="22"/>
          <w:szCs w:val="22"/>
        </w:rPr>
        <w:t>. El servidor público o la institución pública podrán rescindir en cualquier</w:t>
      </w:r>
      <w:r>
        <w:rPr>
          <w:rFonts w:ascii="Palatino Linotype" w:eastAsia="Calibri" w:hAnsi="Palatino Linotype"/>
          <w:i/>
          <w:sz w:val="22"/>
          <w:szCs w:val="22"/>
        </w:rPr>
        <w:t xml:space="preserve"> </w:t>
      </w:r>
      <w:r w:rsidRPr="009700A7">
        <w:rPr>
          <w:rFonts w:ascii="Palatino Linotype" w:eastAsia="Calibri" w:hAnsi="Palatino Linotype"/>
          <w:i/>
          <w:sz w:val="22"/>
          <w:szCs w:val="22"/>
        </w:rPr>
        <w:t>tiempo, por causa justificada, la relación laboral.</w:t>
      </w:r>
    </w:p>
    <w:p w:rsidR="0095054D" w:rsidRPr="00C727A9" w:rsidRDefault="0095054D" w:rsidP="0095054D">
      <w:pPr>
        <w:spacing w:line="360" w:lineRule="auto"/>
        <w:ind w:left="851" w:right="901"/>
        <w:jc w:val="both"/>
        <w:rPr>
          <w:rFonts w:ascii="Palatino Linotype" w:eastAsia="Calibri" w:hAnsi="Palatino Linotype"/>
          <w:b/>
          <w:i/>
          <w:sz w:val="22"/>
          <w:szCs w:val="22"/>
        </w:rPr>
      </w:pPr>
    </w:p>
    <w:p w:rsidR="0095054D" w:rsidRPr="00C727A9" w:rsidRDefault="0095054D" w:rsidP="0095054D">
      <w:pPr>
        <w:spacing w:line="360" w:lineRule="auto"/>
        <w:ind w:left="851" w:right="901"/>
        <w:jc w:val="both"/>
        <w:rPr>
          <w:rFonts w:ascii="Palatino Linotype" w:eastAsia="Calibri" w:hAnsi="Palatino Linotype"/>
          <w:b/>
          <w:i/>
          <w:sz w:val="22"/>
          <w:szCs w:val="22"/>
        </w:rPr>
      </w:pPr>
      <w:r w:rsidRPr="00C727A9">
        <w:rPr>
          <w:rFonts w:ascii="Palatino Linotype" w:eastAsia="Calibri" w:hAnsi="Palatino Linotype"/>
          <w:b/>
          <w:i/>
          <w:sz w:val="22"/>
          <w:szCs w:val="22"/>
        </w:rPr>
        <w:t>ARTÍCULO 98</w:t>
      </w:r>
      <w:r w:rsidRPr="00C727A9">
        <w:rPr>
          <w:rFonts w:ascii="Palatino Linotype" w:eastAsia="Calibri" w:hAnsi="Palatino Linotype"/>
          <w:i/>
          <w:sz w:val="22"/>
          <w:szCs w:val="22"/>
        </w:rPr>
        <w:t xml:space="preserve">. Son </w:t>
      </w:r>
      <w:r w:rsidRPr="00C727A9">
        <w:rPr>
          <w:rFonts w:ascii="Palatino Linotype" w:eastAsia="Calibri" w:hAnsi="Palatino Linotype"/>
          <w:b/>
          <w:i/>
          <w:sz w:val="22"/>
          <w:szCs w:val="22"/>
        </w:rPr>
        <w:t>obligaciones de las instituciones públicas:</w:t>
      </w:r>
    </w:p>
    <w:p w:rsidR="0095054D" w:rsidRPr="00C727A9" w:rsidRDefault="0095054D" w:rsidP="0095054D">
      <w:pPr>
        <w:spacing w:line="360" w:lineRule="auto"/>
        <w:ind w:left="851" w:right="901"/>
        <w:jc w:val="both"/>
        <w:rPr>
          <w:rFonts w:ascii="Palatino Linotype" w:eastAsia="Calibri" w:hAnsi="Palatino Linotype"/>
          <w:i/>
          <w:sz w:val="22"/>
          <w:szCs w:val="22"/>
        </w:rPr>
      </w:pPr>
      <w:r w:rsidRPr="00C727A9">
        <w:rPr>
          <w:rFonts w:ascii="Palatino Linotype" w:eastAsia="Calibri" w:hAnsi="Palatino Linotype"/>
          <w:b/>
          <w:i/>
          <w:sz w:val="22"/>
          <w:szCs w:val="22"/>
        </w:rPr>
        <w:t>(…)</w:t>
      </w:r>
    </w:p>
    <w:p w:rsidR="0095054D" w:rsidRPr="00C727A9" w:rsidRDefault="0095054D" w:rsidP="0095054D">
      <w:pPr>
        <w:spacing w:line="360" w:lineRule="auto"/>
        <w:ind w:left="851" w:right="901"/>
        <w:jc w:val="both"/>
        <w:rPr>
          <w:rFonts w:ascii="Palatino Linotype" w:eastAsia="Calibri" w:hAnsi="Palatino Linotype"/>
          <w:b/>
          <w:i/>
          <w:sz w:val="22"/>
          <w:szCs w:val="22"/>
        </w:rPr>
      </w:pPr>
      <w:r w:rsidRPr="00C727A9">
        <w:rPr>
          <w:rFonts w:ascii="Palatino Linotype" w:eastAsia="Calibri" w:hAnsi="Palatino Linotype"/>
          <w:i/>
          <w:sz w:val="22"/>
          <w:szCs w:val="22"/>
        </w:rPr>
        <w:t xml:space="preserve">VI. </w:t>
      </w:r>
      <w:r w:rsidRPr="00C727A9">
        <w:rPr>
          <w:rFonts w:ascii="Palatino Linotype" w:eastAsia="Calibri" w:hAnsi="Palatino Linotype"/>
          <w:b/>
          <w:i/>
          <w:sz w:val="22"/>
          <w:szCs w:val="22"/>
        </w:rPr>
        <w:t>Cumplir oportunamente los laudos</w:t>
      </w:r>
      <w:r w:rsidRPr="00C727A9">
        <w:rPr>
          <w:rFonts w:ascii="Palatino Linotype" w:eastAsia="Calibri" w:hAnsi="Palatino Linotype"/>
          <w:i/>
          <w:sz w:val="22"/>
          <w:szCs w:val="22"/>
        </w:rPr>
        <w:t xml:space="preserve"> que dicte el Tribunal </w:t>
      </w:r>
      <w:r w:rsidRPr="00C727A9">
        <w:rPr>
          <w:rFonts w:ascii="Palatino Linotype" w:eastAsia="Calibri" w:hAnsi="Palatino Linotype"/>
          <w:b/>
          <w:i/>
          <w:sz w:val="22"/>
          <w:szCs w:val="22"/>
        </w:rPr>
        <w:t>y pagar el monto de las indemnizaciones y demás prestaciones a que tenga derecho el servidor público</w:t>
      </w:r>
    </w:p>
    <w:p w:rsidR="0095054D" w:rsidRPr="00C727A9" w:rsidRDefault="0095054D" w:rsidP="0095054D">
      <w:pPr>
        <w:spacing w:line="360" w:lineRule="auto"/>
        <w:ind w:left="851" w:right="901"/>
        <w:jc w:val="both"/>
        <w:rPr>
          <w:rFonts w:ascii="Palatino Linotype" w:eastAsia="Calibri" w:hAnsi="Palatino Linotype"/>
          <w:i/>
          <w:sz w:val="22"/>
          <w:szCs w:val="22"/>
        </w:rPr>
      </w:pPr>
      <w:r w:rsidRPr="00C727A9">
        <w:rPr>
          <w:rFonts w:ascii="Palatino Linotype" w:eastAsia="Calibri" w:hAnsi="Palatino Linotype"/>
          <w:b/>
          <w:i/>
          <w:sz w:val="22"/>
          <w:szCs w:val="22"/>
        </w:rPr>
        <w:t>(…)</w:t>
      </w:r>
    </w:p>
    <w:p w:rsidR="0095054D" w:rsidRPr="00C727A9" w:rsidRDefault="0095054D" w:rsidP="0095054D">
      <w:pPr>
        <w:spacing w:line="360" w:lineRule="auto"/>
        <w:ind w:left="851" w:right="901"/>
        <w:jc w:val="both"/>
        <w:rPr>
          <w:rFonts w:ascii="Palatino Linotype" w:eastAsia="Calibri" w:hAnsi="Palatino Linotype"/>
          <w:i/>
          <w:sz w:val="22"/>
          <w:szCs w:val="22"/>
        </w:rPr>
      </w:pPr>
      <w:r w:rsidRPr="00C727A9">
        <w:rPr>
          <w:rFonts w:ascii="Palatino Linotype" w:eastAsia="Calibri" w:hAnsi="Palatino Linotype"/>
          <w:b/>
          <w:i/>
          <w:sz w:val="22"/>
          <w:szCs w:val="22"/>
        </w:rPr>
        <w:t>ARTÍCULO 251.-</w:t>
      </w:r>
      <w:r w:rsidRPr="00C727A9">
        <w:rPr>
          <w:rFonts w:ascii="Palatino Linotype" w:eastAsia="Calibri" w:hAnsi="Palatino Linotype"/>
          <w:i/>
          <w:sz w:val="22"/>
          <w:szCs w:val="22"/>
        </w:rPr>
        <w:t xml:space="preserve"> Siempre que en ejecución de un laudo o convenio, deba entregarse una suma de dinero o el cumplimiento de un derecho al servidor público, el Presidente cuidará que se le otorgue personalmente. </w:t>
      </w:r>
    </w:p>
    <w:p w:rsidR="0095054D" w:rsidRDefault="0095054D" w:rsidP="0095054D">
      <w:pPr>
        <w:spacing w:line="360" w:lineRule="auto"/>
        <w:ind w:left="851" w:right="901"/>
        <w:jc w:val="both"/>
        <w:rPr>
          <w:rFonts w:ascii="Palatino Linotype" w:eastAsia="Calibri" w:hAnsi="Palatino Linotype"/>
          <w:i/>
          <w:sz w:val="22"/>
          <w:szCs w:val="22"/>
        </w:rPr>
      </w:pPr>
    </w:p>
    <w:p w:rsidR="0095054D" w:rsidRPr="00C727A9" w:rsidRDefault="0095054D" w:rsidP="0095054D">
      <w:pPr>
        <w:spacing w:line="360" w:lineRule="auto"/>
        <w:ind w:left="1416" w:right="901"/>
        <w:jc w:val="both"/>
        <w:rPr>
          <w:rFonts w:ascii="Palatino Linotype" w:eastAsia="Calibri" w:hAnsi="Palatino Linotype"/>
          <w:i/>
          <w:sz w:val="22"/>
          <w:szCs w:val="22"/>
        </w:rPr>
      </w:pPr>
      <w:r w:rsidRPr="00C727A9">
        <w:rPr>
          <w:rFonts w:ascii="Palatino Linotype" w:eastAsia="Calibri" w:hAnsi="Palatino Linotype"/>
          <w:i/>
          <w:sz w:val="22"/>
          <w:szCs w:val="22"/>
        </w:rPr>
        <w:t xml:space="preserve">Los titulares de las instituciones o dependencias y los sujetos a esta ley, se atendrán a lo dispuesto por los laudos y convenios, ordenando, en su caso el </w:t>
      </w:r>
      <w:r w:rsidRPr="00012F4E">
        <w:rPr>
          <w:rFonts w:ascii="Palatino Linotype" w:eastAsia="Calibri" w:hAnsi="Palatino Linotype"/>
          <w:b/>
          <w:i/>
          <w:sz w:val="22"/>
          <w:szCs w:val="22"/>
        </w:rPr>
        <w:t>pago de las indemnizaciones</w:t>
      </w:r>
      <w:r>
        <w:rPr>
          <w:rFonts w:ascii="Palatino Linotype" w:eastAsia="Calibri" w:hAnsi="Palatino Linotype"/>
          <w:b/>
          <w:i/>
          <w:sz w:val="22"/>
          <w:szCs w:val="22"/>
        </w:rPr>
        <w:t>,</w:t>
      </w:r>
      <w:r w:rsidRPr="00012F4E">
        <w:rPr>
          <w:rFonts w:ascii="Palatino Linotype" w:eastAsia="Calibri" w:hAnsi="Palatino Linotype"/>
          <w:b/>
          <w:i/>
          <w:sz w:val="22"/>
          <w:szCs w:val="22"/>
        </w:rPr>
        <w:t xml:space="preserve"> sueldos o cualquier prestación en dinero que se determine en ellos</w:t>
      </w:r>
      <w:r w:rsidRPr="00C727A9">
        <w:rPr>
          <w:rFonts w:ascii="Palatino Linotype" w:eastAsia="Calibri" w:hAnsi="Palatino Linotype"/>
          <w:i/>
          <w:sz w:val="22"/>
          <w:szCs w:val="22"/>
        </w:rPr>
        <w:t xml:space="preserve">, previo el establecimiento de una partida presupuestal específica para la liquidación respectiva. </w:t>
      </w:r>
    </w:p>
    <w:p w:rsidR="0083433E" w:rsidRDefault="0095054D" w:rsidP="0095054D">
      <w:pPr>
        <w:pStyle w:val="Prrafodelista"/>
        <w:numPr>
          <w:ilvl w:val="0"/>
          <w:numId w:val="1"/>
        </w:numPr>
        <w:spacing w:before="100" w:beforeAutospacing="1" w:after="100" w:afterAutospacing="1" w:line="360" w:lineRule="auto"/>
        <w:jc w:val="both"/>
        <w:rPr>
          <w:rFonts w:ascii="Palatino Linotype" w:hAnsi="Palatino Linotype" w:cs="Arial"/>
        </w:rPr>
      </w:pPr>
      <w:r w:rsidRPr="0095054D">
        <w:rPr>
          <w:rFonts w:ascii="Palatino Linotype" w:eastAsia="Calibri" w:hAnsi="Palatino Linotype"/>
          <w:szCs w:val="22"/>
        </w:rPr>
        <w:lastRenderedPageBreak/>
        <w:t>Es así que, de los preceptos legales transcritos se desprende que</w:t>
      </w:r>
      <w:r w:rsidRPr="0095054D">
        <w:rPr>
          <w:rFonts w:ascii="Palatino Linotype" w:hAnsi="Palatino Linotype" w:cs="Arial"/>
        </w:rPr>
        <w:t xml:space="preserve"> una de las obligaciones de las instituciones públicas es cumplir oportunamente los laudos que dicte el Tribunal y pagar el monto de las indemnizaciones y demás prestaciones a que tenga derecho el servidor público. Entendiéndose por </w:t>
      </w:r>
      <w:r w:rsidRPr="0095054D">
        <w:rPr>
          <w:rFonts w:ascii="Palatino Linotype" w:hAnsi="Palatino Linotype" w:cs="Arial"/>
          <w:b/>
        </w:rPr>
        <w:t>“laudo”</w:t>
      </w:r>
      <w:r w:rsidRPr="0095054D">
        <w:rPr>
          <w:rFonts w:ascii="Palatino Linotype" w:hAnsi="Palatino Linotype" w:cs="Arial"/>
        </w:rPr>
        <w:t xml:space="preserve"> a la </w:t>
      </w:r>
      <w:r w:rsidRPr="0095054D">
        <w:rPr>
          <w:rFonts w:ascii="Palatino Linotype" w:hAnsi="Palatino Linotype" w:cs="Arial"/>
          <w:b/>
        </w:rPr>
        <w:t xml:space="preserve">resolución que en definitiva dicta el Tribunal Laboral </w:t>
      </w:r>
      <w:r w:rsidRPr="0095054D">
        <w:rPr>
          <w:rFonts w:ascii="Palatino Linotype" w:hAnsi="Palatino Linotype" w:cs="Arial"/>
        </w:rPr>
        <w:t xml:space="preserve">para la </w:t>
      </w:r>
      <w:r w:rsidRPr="0095054D">
        <w:rPr>
          <w:rFonts w:ascii="Palatino Linotype" w:hAnsi="Palatino Linotype" w:cs="Arial"/>
          <w:b/>
        </w:rPr>
        <w:t>conclusión del juicio de la materia</w:t>
      </w:r>
      <w:r w:rsidRPr="0095054D">
        <w:rPr>
          <w:rFonts w:ascii="Palatino Linotype" w:hAnsi="Palatino Linotype" w:cs="Arial"/>
        </w:rPr>
        <w:t xml:space="preserve">, </w:t>
      </w:r>
      <w:r w:rsidR="0083433E">
        <w:rPr>
          <w:rFonts w:ascii="Palatino Linotype" w:hAnsi="Palatino Linotype" w:cs="Arial"/>
        </w:rPr>
        <w:t xml:space="preserve">resolución que en un plazo determinado podrá ser impugnada, sin embargo, por su carácter de definitiva es de carácter público, por lo que no hay lugar para que se determine la clasificación de la información solicitada como reservada. </w:t>
      </w:r>
    </w:p>
    <w:p w:rsidR="0083433E" w:rsidRDefault="0083433E" w:rsidP="0083433E">
      <w:pPr>
        <w:pStyle w:val="Prrafodelista"/>
        <w:spacing w:before="100" w:beforeAutospacing="1" w:after="100" w:afterAutospacing="1" w:line="360" w:lineRule="auto"/>
        <w:ind w:left="360"/>
        <w:jc w:val="both"/>
        <w:rPr>
          <w:rFonts w:ascii="Palatino Linotype" w:hAnsi="Palatino Linotype" w:cs="Arial"/>
        </w:rPr>
      </w:pPr>
    </w:p>
    <w:p w:rsidR="0083433E" w:rsidRDefault="0083433E" w:rsidP="0083433E">
      <w:pPr>
        <w:pStyle w:val="Prrafodelista"/>
        <w:numPr>
          <w:ilvl w:val="0"/>
          <w:numId w:val="1"/>
        </w:numPr>
        <w:spacing w:before="100" w:beforeAutospacing="1" w:after="100" w:afterAutospacing="1" w:line="360" w:lineRule="auto"/>
        <w:jc w:val="both"/>
        <w:rPr>
          <w:rFonts w:ascii="Palatino Linotype" w:eastAsia="MS Mincho" w:hAnsi="Palatino Linotype"/>
          <w:lang w:val="es-ES"/>
        </w:rPr>
      </w:pPr>
      <w:r>
        <w:rPr>
          <w:rFonts w:ascii="Palatino Linotype" w:hAnsi="Palatino Linotype" w:cs="Arial"/>
        </w:rPr>
        <w:t xml:space="preserve"> Haciendo una comparación con las resoluciones emitidas por este Órgano Garante, el artículo </w:t>
      </w:r>
      <w:r w:rsidRPr="00B06FF1">
        <w:rPr>
          <w:rFonts w:ascii="Palatino Linotype" w:eastAsia="MS Mincho" w:hAnsi="Palatino Linotype"/>
          <w:lang w:val="es-ES"/>
        </w:rPr>
        <w:t xml:space="preserve">196 de la Ley de Transparencia y Acceso a la Información Pública del Estado de México y Municipios, </w:t>
      </w:r>
      <w:r>
        <w:rPr>
          <w:rFonts w:ascii="Palatino Linotype" w:eastAsia="MS Mincho" w:hAnsi="Palatino Linotype"/>
          <w:lang w:val="es-ES"/>
        </w:rPr>
        <w:t xml:space="preserve">establece </w:t>
      </w:r>
      <w:r w:rsidRPr="00B06FF1">
        <w:rPr>
          <w:rFonts w:ascii="Palatino Linotype" w:eastAsia="MS Mincho" w:hAnsi="Palatino Linotype"/>
          <w:lang w:val="es-ES"/>
        </w:rPr>
        <w:t xml:space="preserve">en caso </w:t>
      </w:r>
      <w:r>
        <w:rPr>
          <w:rFonts w:ascii="Palatino Linotype" w:eastAsia="MS Mincho" w:hAnsi="Palatino Linotype"/>
          <w:lang w:val="es-ES"/>
        </w:rPr>
        <w:t xml:space="preserve">que el particular </w:t>
      </w:r>
      <w:r w:rsidRPr="00B06FF1">
        <w:rPr>
          <w:rFonts w:ascii="Palatino Linotype" w:eastAsia="MS Mincho" w:hAnsi="Palatino Linotype"/>
          <w:lang w:val="es-ES"/>
        </w:rPr>
        <w:t xml:space="preserve"> considere que la resolución le cause algún perjuicio podrá impugnarla </w:t>
      </w:r>
      <w:r w:rsidRPr="00B06FF1">
        <w:rPr>
          <w:rFonts w:ascii="Palatino Linotype" w:eastAsia="MS Mincho" w:hAnsi="Palatino Linotype"/>
          <w:bCs/>
          <w:lang w:val="es-ES"/>
        </w:rPr>
        <w:t>vía juicio de amparo</w:t>
      </w:r>
      <w:r w:rsidRPr="00B06FF1">
        <w:rPr>
          <w:rFonts w:ascii="Palatino Linotype" w:eastAsia="MS Mincho" w:hAnsi="Palatino Linotype"/>
          <w:lang w:val="es-ES"/>
        </w:rPr>
        <w:t> en los t</w:t>
      </w:r>
      <w:r>
        <w:rPr>
          <w:rFonts w:ascii="Palatino Linotype" w:eastAsia="MS Mincho" w:hAnsi="Palatino Linotype"/>
          <w:lang w:val="es-ES"/>
        </w:rPr>
        <w:t xml:space="preserve">érminos de las leyes aplicables, sin embargo, no quiere decir que en tanto no se cumpla el plazo para interponer el amparo o una vez interpuesto el mimo la notificación de la resolución tiene el carácter de reservado, sino que independientemente de que se impugne o no, la misma es publicada en su versión pública, facilitando su consulta en la página del </w:t>
      </w:r>
      <w:r w:rsidR="007230E2">
        <w:rPr>
          <w:rFonts w:ascii="Palatino Linotype" w:eastAsia="MS Mincho" w:hAnsi="Palatino Linotype"/>
          <w:lang w:val="es-ES"/>
        </w:rPr>
        <w:t>Instituto</w:t>
      </w:r>
      <w:r>
        <w:rPr>
          <w:rFonts w:ascii="Palatino Linotype" w:eastAsia="MS Mincho" w:hAnsi="Palatino Linotype"/>
          <w:lang w:val="es-ES"/>
        </w:rPr>
        <w:t xml:space="preserve">. </w:t>
      </w:r>
    </w:p>
    <w:p w:rsidR="0095054D" w:rsidRDefault="0095054D" w:rsidP="0083433E">
      <w:pPr>
        <w:pStyle w:val="Prrafodelista"/>
        <w:spacing w:before="100" w:beforeAutospacing="1" w:after="100" w:afterAutospacing="1" w:line="360" w:lineRule="auto"/>
        <w:ind w:left="360"/>
        <w:jc w:val="both"/>
        <w:rPr>
          <w:rFonts w:ascii="Palatino Linotype" w:hAnsi="Palatino Linotype" w:cs="Arial"/>
        </w:rPr>
      </w:pPr>
    </w:p>
    <w:p w:rsidR="0083433E" w:rsidRDefault="0083433E" w:rsidP="0083433E">
      <w:pPr>
        <w:pStyle w:val="Prrafodelista"/>
        <w:spacing w:before="100" w:beforeAutospacing="1" w:after="100" w:afterAutospacing="1" w:line="360" w:lineRule="auto"/>
        <w:ind w:left="360"/>
        <w:jc w:val="both"/>
        <w:rPr>
          <w:rFonts w:ascii="Palatino Linotype" w:hAnsi="Palatino Linotype" w:cs="Arial"/>
        </w:rPr>
      </w:pPr>
    </w:p>
    <w:p w:rsidR="001933BE" w:rsidRDefault="001933BE" w:rsidP="001933BE">
      <w:pPr>
        <w:pStyle w:val="Ttulo2"/>
        <w:rPr>
          <w:rFonts w:ascii="Palatino Linotype" w:hAnsi="Palatino Linotype"/>
          <w:b/>
          <w:color w:val="000000" w:themeColor="text1"/>
          <w:sz w:val="24"/>
          <w:szCs w:val="24"/>
        </w:rPr>
      </w:pPr>
      <w:bookmarkStart w:id="4" w:name="_Toc535863069"/>
      <w:r w:rsidRPr="001933BE">
        <w:rPr>
          <w:rFonts w:ascii="Palatino Linotype" w:hAnsi="Palatino Linotype"/>
          <w:b/>
          <w:color w:val="000000" w:themeColor="text1"/>
          <w:sz w:val="24"/>
          <w:szCs w:val="24"/>
        </w:rPr>
        <w:lastRenderedPageBreak/>
        <w:t>VI. Conclusión.</w:t>
      </w:r>
      <w:bookmarkEnd w:id="4"/>
    </w:p>
    <w:p w:rsidR="00692CB2" w:rsidRPr="00692CB2" w:rsidRDefault="00692CB2" w:rsidP="00692CB2"/>
    <w:p w:rsidR="005F0998" w:rsidRPr="007230E2" w:rsidRDefault="001933BE" w:rsidP="0083433E">
      <w:pPr>
        <w:pStyle w:val="Prrafodelista"/>
        <w:numPr>
          <w:ilvl w:val="0"/>
          <w:numId w:val="1"/>
        </w:numPr>
        <w:spacing w:before="100" w:beforeAutospacing="1" w:after="100" w:afterAutospacing="1" w:line="360" w:lineRule="auto"/>
        <w:jc w:val="both"/>
        <w:rPr>
          <w:rFonts w:ascii="Palatino Linotype" w:hAnsi="Palatino Linotype" w:cs="Arial"/>
          <w:color w:val="000000" w:themeColor="text1"/>
        </w:rPr>
      </w:pPr>
      <w:r w:rsidRPr="0083433E">
        <w:rPr>
          <w:rFonts w:ascii="Palatino Linotype" w:hAnsi="Palatino Linotype" w:cs="Arial"/>
        </w:rPr>
        <w:t>Por</w:t>
      </w:r>
      <w:r w:rsidRPr="0083433E">
        <w:rPr>
          <w:rFonts w:ascii="Palatino Linotype" w:hAnsi="Palatino Linotype" w:cs="Arial"/>
          <w:color w:val="000000" w:themeColor="text1"/>
        </w:rPr>
        <w:t xml:space="preserve"> ello para garantizar el Derecho de Acceso a la Información se podrían adoptar medidas de acceso a la i</w:t>
      </w:r>
      <w:r w:rsidR="00692CB2" w:rsidRPr="0083433E">
        <w:rPr>
          <w:rFonts w:ascii="Palatino Linotype" w:hAnsi="Palatino Linotype" w:cs="Arial"/>
          <w:color w:val="000000" w:themeColor="text1"/>
        </w:rPr>
        <w:t>nformación bajo un ejercicio de</w:t>
      </w:r>
      <w:r w:rsidRPr="0083433E">
        <w:rPr>
          <w:rFonts w:ascii="Palatino Linotype" w:hAnsi="Palatino Linotype" w:cs="Arial"/>
          <w:color w:val="000000" w:themeColor="text1"/>
        </w:rPr>
        <w:t>l</w:t>
      </w:r>
      <w:r w:rsidR="00692CB2" w:rsidRPr="0083433E">
        <w:rPr>
          <w:rFonts w:ascii="Palatino Linotype" w:hAnsi="Palatino Linotype" w:cs="Arial"/>
          <w:color w:val="000000" w:themeColor="text1"/>
        </w:rPr>
        <w:t xml:space="preserve"> principio de máxima publicidad,</w:t>
      </w:r>
      <w:r w:rsidR="005F0998" w:rsidRPr="0083433E">
        <w:rPr>
          <w:rFonts w:ascii="Palatino Linotype" w:hAnsi="Palatino Linotype" w:cs="Arial"/>
          <w:color w:val="000000" w:themeColor="text1"/>
        </w:rPr>
        <w:t xml:space="preserve"> </w:t>
      </w:r>
      <w:r w:rsidR="0083433E">
        <w:rPr>
          <w:rFonts w:ascii="Palatino Linotype" w:hAnsi="Palatino Linotype" w:cs="Arial"/>
          <w:color w:val="000000" w:themeColor="text1"/>
        </w:rPr>
        <w:t xml:space="preserve">ordenando la entrega de la información </w:t>
      </w:r>
      <w:r w:rsidR="007230E2">
        <w:rPr>
          <w:rFonts w:ascii="Palatino Linotype" w:hAnsi="Palatino Linotype" w:cs="Arial"/>
          <w:color w:val="000000" w:themeColor="text1"/>
        </w:rPr>
        <w:t xml:space="preserve">solicitada relacionada con los la notificación del laudo  respecto del juicio referido en la solicitud, toda vez que al tratarse de una </w:t>
      </w:r>
      <w:r w:rsidR="007230E2" w:rsidRPr="007230E2">
        <w:rPr>
          <w:rFonts w:ascii="Palatino Linotype" w:hAnsi="Palatino Linotype" w:cs="Arial"/>
        </w:rPr>
        <w:t>resolución que en definitiva dicta el Tribunal Laboral para la conclusión del juicio de la materia</w:t>
      </w:r>
      <w:r w:rsidR="007230E2">
        <w:rPr>
          <w:rFonts w:ascii="Palatino Linotype" w:hAnsi="Palatino Linotype" w:cs="Arial"/>
        </w:rPr>
        <w:t xml:space="preserve">, es de carácter eminentemente público, independientemente que el mismo haya sido impugnado o no a través del juicio de amparo. </w:t>
      </w:r>
    </w:p>
    <w:p w:rsidR="0083433E" w:rsidRPr="007230E2" w:rsidRDefault="0083433E" w:rsidP="0083433E">
      <w:pPr>
        <w:pStyle w:val="Prrafodelista"/>
        <w:spacing w:before="100" w:beforeAutospacing="1" w:after="100" w:afterAutospacing="1" w:line="360" w:lineRule="auto"/>
        <w:ind w:left="360"/>
        <w:jc w:val="both"/>
        <w:rPr>
          <w:rFonts w:ascii="Palatino Linotype" w:hAnsi="Palatino Linotype" w:cs="Arial"/>
          <w:color w:val="000000" w:themeColor="text1"/>
        </w:rPr>
      </w:pPr>
    </w:p>
    <w:p w:rsidR="001933BE" w:rsidRDefault="001933BE" w:rsidP="005F099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hanging="426"/>
        <w:jc w:val="both"/>
        <w:rPr>
          <w:rFonts w:ascii="Palatino Linotype" w:hAnsi="Palatino Linotype" w:cs="Arial"/>
          <w:color w:val="000000" w:themeColor="text1"/>
        </w:rPr>
      </w:pPr>
      <w:r w:rsidRPr="00B642F2">
        <w:rPr>
          <w:rFonts w:ascii="Palatino Linotype" w:hAnsi="Palatino Linotype" w:cs="Arial"/>
          <w:color w:val="000000" w:themeColor="text1"/>
        </w:rPr>
        <w:t>Adoptar la posición que propongo pretende ordenar un acto de plena certeza, lo que puede constituir un exceso, cierto, pero a todas luces admisible en materia de protección del derecho humano lo que, considero, fortalece al Estado Constitucional de D</w:t>
      </w:r>
      <w:r>
        <w:rPr>
          <w:rFonts w:ascii="Palatino Linotype" w:hAnsi="Palatino Linotype" w:cs="Arial"/>
          <w:color w:val="000000" w:themeColor="text1"/>
        </w:rPr>
        <w:t>erecho, en lugar de vulnerarlo.</w:t>
      </w:r>
    </w:p>
    <w:p w:rsidR="001933BE" w:rsidRDefault="001933BE" w:rsidP="001933BE">
      <w:pPr>
        <w:spacing w:line="360" w:lineRule="auto"/>
        <w:rPr>
          <w:rFonts w:ascii="Palatino Linotype" w:eastAsia="Arial" w:hAnsi="Palatino Linotype" w:cs="Arial"/>
          <w:b/>
          <w:color w:val="000000" w:themeColor="text1"/>
          <w:lang w:eastAsia="es-MX"/>
        </w:rPr>
      </w:pPr>
    </w:p>
    <w:p w:rsidR="005E3E3E" w:rsidRDefault="005E3E3E" w:rsidP="001933BE">
      <w:pPr>
        <w:spacing w:line="360" w:lineRule="auto"/>
        <w:rPr>
          <w:rFonts w:ascii="Palatino Linotype" w:eastAsia="Arial" w:hAnsi="Palatino Linotype" w:cs="Arial"/>
          <w:b/>
          <w:color w:val="000000" w:themeColor="text1"/>
          <w:lang w:eastAsia="es-MX"/>
        </w:rPr>
      </w:pPr>
    </w:p>
    <w:p w:rsidR="001F4D39" w:rsidRDefault="001F4D39" w:rsidP="001933BE">
      <w:pPr>
        <w:spacing w:line="360" w:lineRule="auto"/>
        <w:jc w:val="center"/>
        <w:rPr>
          <w:rFonts w:ascii="Palatino Linotype" w:eastAsia="Arial" w:hAnsi="Palatino Linotype" w:cs="Arial"/>
          <w:b/>
          <w:color w:val="000000" w:themeColor="text1"/>
          <w:lang w:eastAsia="es-MX"/>
        </w:rPr>
      </w:pPr>
    </w:p>
    <w:p w:rsidR="001933BE" w:rsidRPr="00FA4B43" w:rsidRDefault="001933BE" w:rsidP="001933BE">
      <w:pPr>
        <w:spacing w:line="360" w:lineRule="auto"/>
        <w:jc w:val="center"/>
        <w:rPr>
          <w:rFonts w:ascii="Palatino Linotype" w:eastAsia="Arial" w:hAnsi="Palatino Linotype" w:cs="Arial"/>
          <w:b/>
          <w:color w:val="000000" w:themeColor="text1"/>
          <w:lang w:eastAsia="es-MX"/>
        </w:rPr>
      </w:pPr>
      <w:r w:rsidRPr="00FA4B43">
        <w:rPr>
          <w:rFonts w:ascii="Palatino Linotype" w:eastAsia="Arial" w:hAnsi="Palatino Linotype" w:cs="Arial"/>
          <w:b/>
          <w:color w:val="000000" w:themeColor="text1"/>
          <w:lang w:eastAsia="es-MX"/>
        </w:rPr>
        <w:t>JOSÉ GUADALUPE LUNA HERNÁNDEZ</w:t>
      </w:r>
    </w:p>
    <w:p w:rsidR="001933BE" w:rsidRDefault="001933BE" w:rsidP="001933BE">
      <w:pPr>
        <w:spacing w:line="360" w:lineRule="auto"/>
        <w:jc w:val="center"/>
        <w:rPr>
          <w:rFonts w:ascii="Palatino Linotype" w:eastAsia="Arial" w:hAnsi="Palatino Linotype" w:cs="Arial"/>
          <w:b/>
          <w:color w:val="000000" w:themeColor="text1"/>
          <w:lang w:eastAsia="es-MX"/>
        </w:rPr>
      </w:pPr>
      <w:r w:rsidRPr="00FA4B43">
        <w:rPr>
          <w:rFonts w:ascii="Palatino Linotype" w:eastAsia="Arial" w:hAnsi="Palatino Linotype" w:cs="Arial"/>
          <w:b/>
          <w:color w:val="000000" w:themeColor="text1"/>
          <w:lang w:eastAsia="es-MX"/>
        </w:rPr>
        <w:t>COMISIONADO</w:t>
      </w:r>
    </w:p>
    <w:p w:rsidR="002F15F1" w:rsidRDefault="00692CB2" w:rsidP="001933BE">
      <w:pPr>
        <w:spacing w:line="360" w:lineRule="auto"/>
        <w:jc w:val="center"/>
        <w:rPr>
          <w:rFonts w:ascii="Palatino Linotype" w:eastAsia="Arial" w:hAnsi="Palatino Linotype" w:cs="Arial"/>
          <w:b/>
          <w:color w:val="000000" w:themeColor="text1"/>
          <w:lang w:eastAsia="es-MX"/>
        </w:rPr>
      </w:pPr>
      <w:r>
        <w:rPr>
          <w:rFonts w:ascii="Palatino Linotype" w:eastAsia="Arial" w:hAnsi="Palatino Linotype" w:cs="Arial"/>
          <w:b/>
          <w:color w:val="000000" w:themeColor="text1"/>
          <w:lang w:eastAsia="es-MX"/>
        </w:rPr>
        <w:t>(Rúbrica)</w:t>
      </w:r>
    </w:p>
    <w:p w:rsidR="00F23B30" w:rsidRPr="001933BE" w:rsidRDefault="00692CB2" w:rsidP="001F4D39">
      <w:pPr>
        <w:spacing w:line="360" w:lineRule="auto"/>
      </w:pPr>
      <w:r>
        <w:rPr>
          <w:rFonts w:ascii="Palatino Linotype" w:eastAsia="Arial" w:hAnsi="Palatino Linotype" w:cs="Arial"/>
          <w:color w:val="000000" w:themeColor="text1"/>
          <w:sz w:val="16"/>
          <w:szCs w:val="16"/>
          <w:lang w:eastAsia="es-MX"/>
        </w:rPr>
        <w:t>JGLH/SEV</w:t>
      </w:r>
    </w:p>
    <w:sectPr w:rsidR="00F23B30" w:rsidRPr="001933BE" w:rsidSect="007631ED">
      <w:headerReference w:type="even" r:id="rId8"/>
      <w:headerReference w:type="default" r:id="rId9"/>
      <w:footerReference w:type="even" r:id="rId10"/>
      <w:footerReference w:type="default" r:id="rId11"/>
      <w:headerReference w:type="first" r:id="rId12"/>
      <w:foot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E91" w:rsidRDefault="00643E91" w:rsidP="00ED7332">
      <w:r>
        <w:separator/>
      </w:r>
    </w:p>
  </w:endnote>
  <w:endnote w:type="continuationSeparator" w:id="0">
    <w:p w:rsidR="00643E91" w:rsidRDefault="00643E91"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4C" w:rsidRDefault="00BC26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BC264C" w:rsidRDefault="00BC264C">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230E2">
              <w:rPr>
                <w:rFonts w:ascii="Palatino Linotype" w:hAnsi="Palatino Linotype"/>
                <w:b/>
                <w:bCs/>
                <w:noProof/>
                <w:sz w:val="20"/>
                <w:szCs w:val="20"/>
              </w:rPr>
              <w:t>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230E2">
              <w:rPr>
                <w:rFonts w:ascii="Palatino Linotype" w:hAnsi="Palatino Linotype"/>
                <w:b/>
                <w:bCs/>
                <w:noProof/>
                <w:sz w:val="20"/>
                <w:szCs w:val="20"/>
              </w:rPr>
              <w:t>7</w:t>
            </w:r>
            <w:r w:rsidRPr="0052203D">
              <w:rPr>
                <w:rFonts w:ascii="Palatino Linotype" w:hAnsi="Palatino Linotype"/>
                <w:b/>
                <w:bCs/>
                <w:sz w:val="20"/>
                <w:szCs w:val="20"/>
              </w:rPr>
              <w:fldChar w:fldCharType="end"/>
            </w:r>
          </w:p>
        </w:sdtContent>
      </w:sdt>
    </w:sdtContent>
  </w:sdt>
  <w:p w:rsidR="00BC264C" w:rsidRDefault="00BC264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4C" w:rsidRDefault="00BC2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E91" w:rsidRDefault="00643E91" w:rsidP="00ED7332">
      <w:r>
        <w:separator/>
      </w:r>
    </w:p>
  </w:footnote>
  <w:footnote w:type="continuationSeparator" w:id="0">
    <w:p w:rsidR="00643E91" w:rsidRDefault="00643E91"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4C" w:rsidRDefault="00643E9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4C" w:rsidRDefault="00643E9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BC264C" w:rsidRDefault="00BC26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4C" w:rsidRDefault="00643E9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626F2"/>
    <w:multiLevelType w:val="hybridMultilevel"/>
    <w:tmpl w:val="7E143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7559D"/>
    <w:multiLevelType w:val="hybridMultilevel"/>
    <w:tmpl w:val="6C02E54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5" w15:restartNumberingAfterBreak="0">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6" w15:restartNumberingAfterBreak="0">
    <w:nsid w:val="0ECA05E9"/>
    <w:multiLevelType w:val="hybridMultilevel"/>
    <w:tmpl w:val="D36C8F2E"/>
    <w:lvl w:ilvl="0" w:tplc="26E2FF6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4530D"/>
    <w:multiLevelType w:val="hybridMultilevel"/>
    <w:tmpl w:val="FDC4E672"/>
    <w:lvl w:ilvl="0" w:tplc="2884CF8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09D53B2"/>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2C6B30"/>
    <w:multiLevelType w:val="hybridMultilevel"/>
    <w:tmpl w:val="92D69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C0036AD"/>
    <w:multiLevelType w:val="hybridMultilevel"/>
    <w:tmpl w:val="AECEB2B0"/>
    <w:lvl w:ilvl="0" w:tplc="080A000F">
      <w:start w:val="1"/>
      <w:numFmt w:val="decimal"/>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7" w15:restartNumberingAfterBreak="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20" w15:restartNumberingAfterBreak="0">
    <w:nsid w:val="40C21648"/>
    <w:multiLevelType w:val="hybridMultilevel"/>
    <w:tmpl w:val="048E1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2" w15:restartNumberingAfterBreak="0">
    <w:nsid w:val="47AC5D89"/>
    <w:multiLevelType w:val="hybridMultilevel"/>
    <w:tmpl w:val="C94E487C"/>
    <w:lvl w:ilvl="0" w:tplc="281E5080">
      <w:start w:val="1"/>
      <w:numFmt w:val="decimal"/>
      <w:lvlText w:val="%1."/>
      <w:lvlJc w:val="left"/>
      <w:pPr>
        <w:ind w:left="426" w:hanging="360"/>
      </w:p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3" w15:restartNumberingAfterBreak="0">
    <w:nsid w:val="48285EA1"/>
    <w:multiLevelType w:val="hybridMultilevel"/>
    <w:tmpl w:val="B784DA1E"/>
    <w:lvl w:ilvl="0" w:tplc="86528DF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15:restartNumberingAfterBreak="0">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7202FA"/>
    <w:multiLevelType w:val="hybridMultilevel"/>
    <w:tmpl w:val="4D92373A"/>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F284F71"/>
    <w:multiLevelType w:val="hybridMultilevel"/>
    <w:tmpl w:val="1CC0534E"/>
    <w:lvl w:ilvl="0" w:tplc="080A000F">
      <w:start w:val="1"/>
      <w:numFmt w:val="decimal"/>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2" w15:restartNumberingAfterBreak="0">
    <w:nsid w:val="6AE3554E"/>
    <w:multiLevelType w:val="hybridMultilevel"/>
    <w:tmpl w:val="9B3248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232704"/>
    <w:multiLevelType w:val="multilevel"/>
    <w:tmpl w:val="0FCA0F84"/>
    <w:lvl w:ilvl="0">
      <w:start w:val="5"/>
      <w:numFmt w:val="decimal"/>
      <w:lvlText w:val="%1"/>
      <w:lvlJc w:val="left"/>
      <w:pPr>
        <w:ind w:left="360" w:hanging="360"/>
      </w:pPr>
      <w:rPr>
        <w:rFonts w:hint="default"/>
        <w:b/>
      </w:rPr>
    </w:lvl>
    <w:lvl w:ilvl="1">
      <w:start w:val="4"/>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num w:numId="1">
    <w:abstractNumId w:val="28"/>
  </w:num>
  <w:num w:numId="2">
    <w:abstractNumId w:val="15"/>
  </w:num>
  <w:num w:numId="3">
    <w:abstractNumId w:val="37"/>
  </w:num>
  <w:num w:numId="4">
    <w:abstractNumId w:val="10"/>
  </w:num>
  <w:num w:numId="5">
    <w:abstractNumId w:val="19"/>
  </w:num>
  <w:num w:numId="6">
    <w:abstractNumId w:val="5"/>
  </w:num>
  <w:num w:numId="7">
    <w:abstractNumId w:val="27"/>
  </w:num>
  <w:num w:numId="8">
    <w:abstractNumId w:val="39"/>
  </w:num>
  <w:num w:numId="9">
    <w:abstractNumId w:val="22"/>
  </w:num>
  <w:num w:numId="10">
    <w:abstractNumId w:val="4"/>
  </w:num>
  <w:num w:numId="11">
    <w:abstractNumId w:val="1"/>
  </w:num>
  <w:num w:numId="12">
    <w:abstractNumId w:val="26"/>
  </w:num>
  <w:num w:numId="13">
    <w:abstractNumId w:val="7"/>
  </w:num>
  <w:num w:numId="14">
    <w:abstractNumId w:val="35"/>
  </w:num>
  <w:num w:numId="15">
    <w:abstractNumId w:val="33"/>
  </w:num>
  <w:num w:numId="16">
    <w:abstractNumId w:val="25"/>
  </w:num>
  <w:num w:numId="17">
    <w:abstractNumId w:val="17"/>
  </w:num>
  <w:num w:numId="18">
    <w:abstractNumId w:val="13"/>
  </w:num>
  <w:num w:numId="19">
    <w:abstractNumId w:val="36"/>
  </w:num>
  <w:num w:numId="20">
    <w:abstractNumId w:val="21"/>
  </w:num>
  <w:num w:numId="21">
    <w:abstractNumId w:val="38"/>
  </w:num>
  <w:num w:numId="22">
    <w:abstractNumId w:val="18"/>
  </w:num>
  <w:num w:numId="23">
    <w:abstractNumId w:val="29"/>
  </w:num>
  <w:num w:numId="24">
    <w:abstractNumId w:val="2"/>
  </w:num>
  <w:num w:numId="25">
    <w:abstractNumId w:val="3"/>
  </w:num>
  <w:num w:numId="26">
    <w:abstractNumId w:val="31"/>
  </w:num>
  <w:num w:numId="27">
    <w:abstractNumId w:val="16"/>
  </w:num>
  <w:num w:numId="28">
    <w:abstractNumId w:val="34"/>
  </w:num>
  <w:num w:numId="29">
    <w:abstractNumId w:val="20"/>
  </w:num>
  <w:num w:numId="30">
    <w:abstractNumId w:val="24"/>
  </w:num>
  <w:num w:numId="31">
    <w:abstractNumId w:val="0"/>
  </w:num>
  <w:num w:numId="32">
    <w:abstractNumId w:val="12"/>
  </w:num>
  <w:num w:numId="33">
    <w:abstractNumId w:val="14"/>
  </w:num>
  <w:num w:numId="34">
    <w:abstractNumId w:val="11"/>
  </w:num>
  <w:num w:numId="35">
    <w:abstractNumId w:val="40"/>
  </w:num>
  <w:num w:numId="36">
    <w:abstractNumId w:val="30"/>
  </w:num>
  <w:num w:numId="37">
    <w:abstractNumId w:val="6"/>
  </w:num>
  <w:num w:numId="38">
    <w:abstractNumId w:val="32"/>
  </w:num>
  <w:num w:numId="39">
    <w:abstractNumId w:val="9"/>
  </w:num>
  <w:num w:numId="40">
    <w:abstractNumId w:val="2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350F9"/>
    <w:rsid w:val="00074B24"/>
    <w:rsid w:val="000818A9"/>
    <w:rsid w:val="0009296B"/>
    <w:rsid w:val="00097AD7"/>
    <w:rsid w:val="000B0E25"/>
    <w:rsid w:val="000D1EA2"/>
    <w:rsid w:val="000D704A"/>
    <w:rsid w:val="000F2AC8"/>
    <w:rsid w:val="00103510"/>
    <w:rsid w:val="00115126"/>
    <w:rsid w:val="0015416E"/>
    <w:rsid w:val="00155AB0"/>
    <w:rsid w:val="0016141F"/>
    <w:rsid w:val="00173575"/>
    <w:rsid w:val="001933BE"/>
    <w:rsid w:val="001A2F06"/>
    <w:rsid w:val="001A3E45"/>
    <w:rsid w:val="001C5397"/>
    <w:rsid w:val="001C6C91"/>
    <w:rsid w:val="001E2E42"/>
    <w:rsid w:val="001F0577"/>
    <w:rsid w:val="001F4D39"/>
    <w:rsid w:val="00203272"/>
    <w:rsid w:val="002252EC"/>
    <w:rsid w:val="00230BB9"/>
    <w:rsid w:val="00253251"/>
    <w:rsid w:val="0026502D"/>
    <w:rsid w:val="00274977"/>
    <w:rsid w:val="00287523"/>
    <w:rsid w:val="00290D96"/>
    <w:rsid w:val="002A3A54"/>
    <w:rsid w:val="002B57ED"/>
    <w:rsid w:val="002E4EAD"/>
    <w:rsid w:val="002F0112"/>
    <w:rsid w:val="002F15F1"/>
    <w:rsid w:val="002F6E68"/>
    <w:rsid w:val="00301B52"/>
    <w:rsid w:val="0030208C"/>
    <w:rsid w:val="00356911"/>
    <w:rsid w:val="00364E7F"/>
    <w:rsid w:val="003672A4"/>
    <w:rsid w:val="003765B0"/>
    <w:rsid w:val="0038405F"/>
    <w:rsid w:val="003A43CE"/>
    <w:rsid w:val="003C68B6"/>
    <w:rsid w:val="003D1215"/>
    <w:rsid w:val="003D513F"/>
    <w:rsid w:val="003F2789"/>
    <w:rsid w:val="003F71B7"/>
    <w:rsid w:val="00421FE8"/>
    <w:rsid w:val="004252DB"/>
    <w:rsid w:val="00430106"/>
    <w:rsid w:val="00482790"/>
    <w:rsid w:val="004915D5"/>
    <w:rsid w:val="004A75D5"/>
    <w:rsid w:val="004C4360"/>
    <w:rsid w:val="0050137A"/>
    <w:rsid w:val="00503141"/>
    <w:rsid w:val="0052203D"/>
    <w:rsid w:val="00524611"/>
    <w:rsid w:val="00541322"/>
    <w:rsid w:val="0054250E"/>
    <w:rsid w:val="00557948"/>
    <w:rsid w:val="0058118C"/>
    <w:rsid w:val="0058225D"/>
    <w:rsid w:val="00586E51"/>
    <w:rsid w:val="005A14B9"/>
    <w:rsid w:val="005A1D59"/>
    <w:rsid w:val="005E3E3E"/>
    <w:rsid w:val="005F0998"/>
    <w:rsid w:val="00614828"/>
    <w:rsid w:val="006169A7"/>
    <w:rsid w:val="00630699"/>
    <w:rsid w:val="00633DCF"/>
    <w:rsid w:val="0063445D"/>
    <w:rsid w:val="0063753D"/>
    <w:rsid w:val="00643E91"/>
    <w:rsid w:val="00644DC3"/>
    <w:rsid w:val="00651B65"/>
    <w:rsid w:val="00661E65"/>
    <w:rsid w:val="00692CB2"/>
    <w:rsid w:val="00696E58"/>
    <w:rsid w:val="00711276"/>
    <w:rsid w:val="007213D4"/>
    <w:rsid w:val="007226CE"/>
    <w:rsid w:val="007230E2"/>
    <w:rsid w:val="007631ED"/>
    <w:rsid w:val="00763471"/>
    <w:rsid w:val="00774A7F"/>
    <w:rsid w:val="0077794D"/>
    <w:rsid w:val="00795BA4"/>
    <w:rsid w:val="007A6A25"/>
    <w:rsid w:val="007A76AC"/>
    <w:rsid w:val="007B70C2"/>
    <w:rsid w:val="007B7886"/>
    <w:rsid w:val="007E2368"/>
    <w:rsid w:val="0083433E"/>
    <w:rsid w:val="00835B3B"/>
    <w:rsid w:val="008645E3"/>
    <w:rsid w:val="00876E43"/>
    <w:rsid w:val="00880EB4"/>
    <w:rsid w:val="008861F2"/>
    <w:rsid w:val="008A174E"/>
    <w:rsid w:val="008A78F1"/>
    <w:rsid w:val="008B29B7"/>
    <w:rsid w:val="008B4BAC"/>
    <w:rsid w:val="008B7090"/>
    <w:rsid w:val="008B70FB"/>
    <w:rsid w:val="008B7D1A"/>
    <w:rsid w:val="008C3561"/>
    <w:rsid w:val="008F1F4E"/>
    <w:rsid w:val="0095054D"/>
    <w:rsid w:val="0099042C"/>
    <w:rsid w:val="009C1935"/>
    <w:rsid w:val="009C76A7"/>
    <w:rsid w:val="009D30A1"/>
    <w:rsid w:val="009D5E66"/>
    <w:rsid w:val="00A1138D"/>
    <w:rsid w:val="00A407DF"/>
    <w:rsid w:val="00A62375"/>
    <w:rsid w:val="00A63691"/>
    <w:rsid w:val="00A86B9D"/>
    <w:rsid w:val="00AB0063"/>
    <w:rsid w:val="00AE112C"/>
    <w:rsid w:val="00AE1FD6"/>
    <w:rsid w:val="00AE5361"/>
    <w:rsid w:val="00B079D3"/>
    <w:rsid w:val="00B10148"/>
    <w:rsid w:val="00B305DB"/>
    <w:rsid w:val="00B35501"/>
    <w:rsid w:val="00B40E9D"/>
    <w:rsid w:val="00B82DF9"/>
    <w:rsid w:val="00B847C6"/>
    <w:rsid w:val="00BA7541"/>
    <w:rsid w:val="00BC23A5"/>
    <w:rsid w:val="00BC264C"/>
    <w:rsid w:val="00C64CFF"/>
    <w:rsid w:val="00C87E9E"/>
    <w:rsid w:val="00CA24BC"/>
    <w:rsid w:val="00CB3643"/>
    <w:rsid w:val="00CD3F2D"/>
    <w:rsid w:val="00CE058D"/>
    <w:rsid w:val="00CF7DF4"/>
    <w:rsid w:val="00D075E8"/>
    <w:rsid w:val="00D212CB"/>
    <w:rsid w:val="00D30999"/>
    <w:rsid w:val="00D37C48"/>
    <w:rsid w:val="00D420C4"/>
    <w:rsid w:val="00D570BC"/>
    <w:rsid w:val="00DA163A"/>
    <w:rsid w:val="00DB5AF7"/>
    <w:rsid w:val="00DE28AC"/>
    <w:rsid w:val="00DF3201"/>
    <w:rsid w:val="00E043DE"/>
    <w:rsid w:val="00E12C1D"/>
    <w:rsid w:val="00E158D0"/>
    <w:rsid w:val="00E4540E"/>
    <w:rsid w:val="00E45666"/>
    <w:rsid w:val="00E60379"/>
    <w:rsid w:val="00E67744"/>
    <w:rsid w:val="00E75201"/>
    <w:rsid w:val="00E80889"/>
    <w:rsid w:val="00EA36ED"/>
    <w:rsid w:val="00EB46CE"/>
    <w:rsid w:val="00EB4980"/>
    <w:rsid w:val="00EB6215"/>
    <w:rsid w:val="00ED5776"/>
    <w:rsid w:val="00ED7332"/>
    <w:rsid w:val="00EF6D27"/>
    <w:rsid w:val="00F23B30"/>
    <w:rsid w:val="00F3413E"/>
    <w:rsid w:val="00F457AA"/>
    <w:rsid w:val="00F467A8"/>
    <w:rsid w:val="00F705B7"/>
    <w:rsid w:val="00F71FF7"/>
    <w:rsid w:val="00F73EA1"/>
    <w:rsid w:val="00F75AE7"/>
    <w:rsid w:val="00F77503"/>
    <w:rsid w:val="00FB534E"/>
    <w:rsid w:val="00FD7D1F"/>
    <w:rsid w:val="00FE7484"/>
    <w:rsid w:val="00FF1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933B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D7332"/>
    <w:pPr>
      <w:ind w:left="720"/>
      <w:contextualSpacing/>
    </w:pPr>
  </w:style>
  <w:style w:type="paragraph" w:styleId="Textonotapie">
    <w:name w:val="footnote text"/>
    <w:basedOn w:val="Normal"/>
    <w:link w:val="TextonotapieCar"/>
    <w:uiPriority w:val="99"/>
    <w:unhideWhenUsed/>
    <w:rsid w:val="00ED7332"/>
    <w:rPr>
      <w:sz w:val="20"/>
      <w:szCs w:val="20"/>
    </w:rPr>
  </w:style>
  <w:style w:type="character" w:customStyle="1" w:styleId="TextonotapieCar">
    <w:name w:val="Texto nota pie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2F6E68"/>
    <w:pPr>
      <w:tabs>
        <w:tab w:val="left" w:pos="660"/>
        <w:tab w:val="right" w:leader="dot" w:pos="8828"/>
      </w:tabs>
      <w:spacing w:after="100" w:line="360" w:lineRule="auto"/>
      <w:ind w:left="284"/>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1933BE"/>
    <w:rPr>
      <w:rFonts w:asciiTheme="majorHAnsi" w:eastAsiaTheme="majorEastAsia" w:hAnsiTheme="majorHAnsi" w:cstheme="majorBidi"/>
      <w:color w:val="1F4D78" w:themeColor="accent1" w:themeShade="7F"/>
      <w:sz w:val="24"/>
      <w:szCs w:val="24"/>
      <w:bdr w:val="nil"/>
    </w:rPr>
  </w:style>
  <w:style w:type="paragraph" w:styleId="TDC3">
    <w:name w:val="toc 3"/>
    <w:basedOn w:val="Normal"/>
    <w:next w:val="Normal"/>
    <w:autoRedefine/>
    <w:uiPriority w:val="39"/>
    <w:unhideWhenUsed/>
    <w:rsid w:val="002F6E6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8518-AD09-416D-8AC4-A017F163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1243</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2017-08-18T00:51:00Z</cp:lastPrinted>
  <dcterms:created xsi:type="dcterms:W3CDTF">2019-01-22T00:51:00Z</dcterms:created>
  <dcterms:modified xsi:type="dcterms:W3CDTF">2019-01-22T01:32:00Z</dcterms:modified>
</cp:coreProperties>
</file>